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5491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72CE424E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6DD29182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42252D13" w14:textId="77777777" w:rsidR="00EC78AC" w:rsidRDefault="00EC78AC"/>
    <w:p w14:paraId="273F0DB1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5DE8CC36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38FD0655" w14:textId="02FA8E6A" w:rsidR="00EC78AC" w:rsidRPr="00EC78AC" w:rsidRDefault="002E112F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Frigerio Antonella</w:t>
            </w:r>
          </w:p>
        </w:tc>
      </w:tr>
    </w:tbl>
    <w:p w14:paraId="46EF0B95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D07434" w14:paraId="56296132" w14:textId="77777777" w:rsidTr="00AA76C9">
        <w:trPr>
          <w:trHeight w:val="2335"/>
        </w:trPr>
        <w:tc>
          <w:tcPr>
            <w:tcW w:w="10201" w:type="dxa"/>
            <w:vAlign w:val="center"/>
          </w:tcPr>
          <w:p w14:paraId="5B9C3668" w14:textId="6C65026D" w:rsidR="00EC78AC" w:rsidRPr="00D07434" w:rsidRDefault="002E112F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D07434">
              <w:rPr>
                <w:rFonts w:ascii="Verdana" w:hAnsi="Verdana" w:cs="Calibri Light"/>
                <w:sz w:val="18"/>
                <w:szCs w:val="18"/>
              </w:rPr>
              <w:t>Laurea</w:t>
            </w:r>
            <w:r w:rsidR="00101F9D" w:rsidRPr="00D07434">
              <w:rPr>
                <w:rFonts w:ascii="Verdana" w:hAnsi="Verdana" w:cs="Calibri Light"/>
                <w:sz w:val="18"/>
                <w:szCs w:val="18"/>
              </w:rPr>
              <w:t>ta</w:t>
            </w:r>
            <w:r w:rsidRPr="00D07434">
              <w:rPr>
                <w:rFonts w:ascii="Verdana" w:hAnsi="Verdana" w:cs="Calibri Light"/>
                <w:sz w:val="18"/>
                <w:szCs w:val="18"/>
              </w:rPr>
              <w:t xml:space="preserve"> in ingegneria civile presso il Politecnico di Milano </w:t>
            </w:r>
            <w:r w:rsidR="00101F9D" w:rsidRPr="00D07434">
              <w:rPr>
                <w:rFonts w:ascii="Verdana" w:hAnsi="Verdana" w:cs="Calibri Light"/>
                <w:sz w:val="18"/>
                <w:szCs w:val="18"/>
              </w:rPr>
              <w:t>nel 1999.</w:t>
            </w:r>
          </w:p>
          <w:p w14:paraId="12E02779" w14:textId="61FCFDA0" w:rsidR="00EC78AC" w:rsidRPr="00D07434" w:rsidRDefault="00101F9D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D07434">
              <w:rPr>
                <w:rFonts w:ascii="Verdana" w:hAnsi="Verdana" w:cs="Calibri Light"/>
                <w:sz w:val="18"/>
                <w:szCs w:val="18"/>
              </w:rPr>
              <w:t>Iscritta all’Ordine degli Ingegneri della provincia di Milano.</w:t>
            </w:r>
          </w:p>
          <w:p w14:paraId="735355FD" w14:textId="5AC98FE5" w:rsidR="00EC78AC" w:rsidRPr="00D07434" w:rsidRDefault="00101F9D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  <w:lang w:val="en-GB"/>
              </w:rPr>
            </w:pPr>
            <w:r w:rsidRPr="00D07434">
              <w:rPr>
                <w:rFonts w:ascii="Verdana" w:hAnsi="Verdana" w:cs="Calibri Light"/>
                <w:sz w:val="18"/>
                <w:szCs w:val="18"/>
                <w:lang w:val="en-GB"/>
              </w:rPr>
              <w:t xml:space="preserve">Corso “Nonlinear Finite Element Analysis” tenuto da Thomas J. R. Hughes e Ted </w:t>
            </w:r>
            <w:proofErr w:type="spellStart"/>
            <w:r w:rsidRPr="00D07434">
              <w:rPr>
                <w:rFonts w:ascii="Verdana" w:hAnsi="Verdana" w:cs="Calibri Light"/>
                <w:sz w:val="18"/>
                <w:szCs w:val="18"/>
                <w:lang w:val="en-GB"/>
              </w:rPr>
              <w:t>Belytschko</w:t>
            </w:r>
            <w:proofErr w:type="spellEnd"/>
            <w:r w:rsidRPr="00D07434">
              <w:rPr>
                <w:rFonts w:ascii="Verdana" w:hAnsi="Verdana" w:cs="Calibri Light"/>
                <w:sz w:val="18"/>
                <w:szCs w:val="18"/>
                <w:lang w:val="en-GB"/>
              </w:rPr>
              <w:t xml:space="preserve"> (Parigi, Francia)</w:t>
            </w:r>
            <w:r w:rsidR="00A15A37" w:rsidRPr="00D07434">
              <w:rPr>
                <w:rFonts w:ascii="Verdana" w:hAnsi="Verdana" w:cs="Calibri Light"/>
                <w:sz w:val="18"/>
                <w:szCs w:val="18"/>
                <w:lang w:val="en-GB"/>
              </w:rPr>
              <w:t>.</w:t>
            </w:r>
          </w:p>
          <w:p w14:paraId="5F16CDA9" w14:textId="67C77B53" w:rsidR="00EC78AC" w:rsidRPr="00D07434" w:rsidRDefault="00101F9D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  <w:lang w:val="en-GB"/>
              </w:rPr>
            </w:pPr>
            <w:r w:rsidRPr="00D07434">
              <w:rPr>
                <w:rFonts w:ascii="Verdana" w:hAnsi="Verdana" w:cs="Calibri Light"/>
                <w:sz w:val="18"/>
                <w:szCs w:val="18"/>
                <w:lang w:val="en-GB"/>
              </w:rPr>
              <w:t xml:space="preserve">Corso “Structural safety assessment of dams” </w:t>
            </w:r>
            <w:proofErr w:type="spellStart"/>
            <w:r w:rsidRPr="00D07434">
              <w:rPr>
                <w:rFonts w:ascii="Verdana" w:hAnsi="Verdana" w:cs="Calibri Light"/>
                <w:sz w:val="18"/>
                <w:szCs w:val="18"/>
                <w:lang w:val="en-GB"/>
              </w:rPr>
              <w:t>organizzato</w:t>
            </w:r>
            <w:proofErr w:type="spellEnd"/>
            <w:r w:rsidRPr="00D07434">
              <w:rPr>
                <w:rFonts w:ascii="Verdana" w:hAnsi="Verdana" w:cs="Calibri Light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7434">
              <w:rPr>
                <w:rFonts w:ascii="Verdana" w:hAnsi="Verdana" w:cs="Calibri Light"/>
                <w:sz w:val="18"/>
                <w:szCs w:val="18"/>
                <w:lang w:val="en-GB"/>
              </w:rPr>
              <w:t>dall’International</w:t>
            </w:r>
            <w:proofErr w:type="spellEnd"/>
            <w:r w:rsidRPr="00D07434">
              <w:rPr>
                <w:rFonts w:ascii="Verdana" w:hAnsi="Verdana" w:cs="Calibri Light"/>
                <w:sz w:val="18"/>
                <w:szCs w:val="18"/>
                <w:lang w:val="en-GB"/>
              </w:rPr>
              <w:t xml:space="preserve"> Centre for Mechanical Sciences (CISM) (Udine, Italia)</w:t>
            </w:r>
            <w:r w:rsidR="00A15A37" w:rsidRPr="00D07434">
              <w:rPr>
                <w:rFonts w:ascii="Verdana" w:hAnsi="Verdana" w:cs="Calibri Light"/>
                <w:sz w:val="18"/>
                <w:szCs w:val="18"/>
                <w:lang w:val="en-GB"/>
              </w:rPr>
              <w:t>.</w:t>
            </w:r>
          </w:p>
          <w:p w14:paraId="3D4D3650" w14:textId="1854A93C" w:rsidR="005C5C50" w:rsidRPr="00D07434" w:rsidRDefault="00101F9D" w:rsidP="00AA76C9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D07434">
              <w:rPr>
                <w:rFonts w:ascii="Verdana" w:hAnsi="Verdana" w:cs="Calibri Light"/>
                <w:sz w:val="18"/>
                <w:szCs w:val="18"/>
              </w:rPr>
              <w:t>Corso “</w:t>
            </w:r>
            <w:proofErr w:type="spellStart"/>
            <w:r w:rsidRPr="00D07434">
              <w:rPr>
                <w:rFonts w:ascii="Verdana" w:hAnsi="Verdana" w:cs="Calibri Light"/>
                <w:sz w:val="18"/>
                <w:szCs w:val="18"/>
              </w:rPr>
              <w:t>Sustainable</w:t>
            </w:r>
            <w:proofErr w:type="spellEnd"/>
            <w:r w:rsidRPr="00D07434">
              <w:rPr>
                <w:rFonts w:ascii="Verdana" w:hAnsi="Verdana" w:cs="Calibri Light"/>
                <w:sz w:val="18"/>
                <w:szCs w:val="18"/>
              </w:rPr>
              <w:t xml:space="preserve"> strategies and </w:t>
            </w:r>
            <w:proofErr w:type="spellStart"/>
            <w:r w:rsidRPr="00D07434">
              <w:rPr>
                <w:rFonts w:ascii="Verdana" w:hAnsi="Verdana" w:cs="Calibri Light"/>
                <w:sz w:val="18"/>
                <w:szCs w:val="18"/>
              </w:rPr>
              <w:t>programmes</w:t>
            </w:r>
            <w:proofErr w:type="spellEnd"/>
            <w:r w:rsidRPr="00D07434">
              <w:rPr>
                <w:rFonts w:ascii="Verdana" w:hAnsi="Verdana" w:cs="Calibri Light"/>
                <w:sz w:val="18"/>
                <w:szCs w:val="18"/>
              </w:rPr>
              <w:t xml:space="preserve"> for energy and </w:t>
            </w:r>
            <w:proofErr w:type="spellStart"/>
            <w:r w:rsidRPr="00D07434">
              <w:rPr>
                <w:rFonts w:ascii="Verdana" w:hAnsi="Verdana" w:cs="Calibri Light"/>
                <w:sz w:val="18"/>
                <w:szCs w:val="18"/>
              </w:rPr>
              <w:t>environmental</w:t>
            </w:r>
            <w:proofErr w:type="spellEnd"/>
            <w:r w:rsidRPr="00D07434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proofErr w:type="spellStart"/>
            <w:r w:rsidRPr="00D07434">
              <w:rPr>
                <w:rFonts w:ascii="Verdana" w:hAnsi="Verdana" w:cs="Calibri Light"/>
                <w:sz w:val="18"/>
                <w:szCs w:val="18"/>
              </w:rPr>
              <w:t>managemenet</w:t>
            </w:r>
            <w:proofErr w:type="spellEnd"/>
            <w:r w:rsidRPr="00D07434">
              <w:rPr>
                <w:rFonts w:ascii="Verdana" w:hAnsi="Verdana" w:cs="Calibri Light"/>
                <w:sz w:val="18"/>
                <w:szCs w:val="18"/>
              </w:rPr>
              <w:t>” organizzato dalla Fondazione Politecnico di Milano</w:t>
            </w:r>
            <w:r w:rsidR="006D19D3" w:rsidRPr="00D07434">
              <w:rPr>
                <w:rFonts w:ascii="Verdana" w:hAnsi="Verdana" w:cs="Calibri Light"/>
                <w:sz w:val="18"/>
                <w:szCs w:val="18"/>
              </w:rPr>
              <w:t>, Il Borgo della Conoscenza, MIP - Consortium for Innovation in Management e TILS – Telecom Italia Learning Services</w:t>
            </w:r>
            <w:r w:rsidR="00AA76C9" w:rsidRPr="00D07434">
              <w:rPr>
                <w:rFonts w:ascii="Verdana" w:hAnsi="Verdana" w:cs="Calibri Light"/>
                <w:sz w:val="18"/>
                <w:szCs w:val="18"/>
              </w:rPr>
              <w:t>.</w:t>
            </w:r>
          </w:p>
        </w:tc>
      </w:tr>
    </w:tbl>
    <w:p w14:paraId="0C82959B" w14:textId="77777777" w:rsidR="00EC78AC" w:rsidRPr="00D07434" w:rsidRDefault="00EC78AC" w:rsidP="00EC78AC">
      <w:pPr>
        <w:spacing w:before="360" w:after="120"/>
        <w:rPr>
          <w:color w:val="404040" w:themeColor="text1" w:themeTint="BF"/>
          <w:sz w:val="18"/>
          <w:szCs w:val="18"/>
        </w:rPr>
      </w:pPr>
      <w:r w:rsidRPr="00D07434">
        <w:rPr>
          <w:rFonts w:ascii="Verdana" w:hAnsi="Verdana" w:cs="Calibri Light"/>
          <w:b/>
          <w:color w:val="404040" w:themeColor="text1" w:themeTint="BF"/>
          <w:sz w:val="18"/>
          <w:szCs w:val="18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RPr="00D07434" w14:paraId="539A236D" w14:textId="77777777" w:rsidTr="00EC78AC">
        <w:tc>
          <w:tcPr>
            <w:tcW w:w="10188" w:type="dxa"/>
          </w:tcPr>
          <w:p w14:paraId="334F96C9" w14:textId="4C2E50FD" w:rsidR="00EC78AC" w:rsidRPr="00D07434" w:rsidRDefault="006D19D3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D07434">
              <w:rPr>
                <w:rFonts w:ascii="Verdana" w:hAnsi="Verdana" w:cs="Calibri Light"/>
                <w:sz w:val="18"/>
                <w:szCs w:val="18"/>
              </w:rPr>
              <w:t>Dal 1999 al 2002 ha lavorato presso il Centro di Ricerca Idraulica e Strutturale (CRIS) dell’ENEL</w:t>
            </w:r>
            <w:r w:rsidR="00A15A37" w:rsidRPr="00D07434">
              <w:rPr>
                <w:rFonts w:ascii="Verdana" w:hAnsi="Verdana" w:cs="Calibri Light"/>
                <w:sz w:val="18"/>
                <w:szCs w:val="18"/>
              </w:rPr>
              <w:t>, dove ha svolto la propria Tesi di Laurea,</w:t>
            </w:r>
            <w:r w:rsidRPr="00D07434">
              <w:rPr>
                <w:rFonts w:ascii="Verdana" w:hAnsi="Verdana" w:cs="Calibri Light"/>
                <w:sz w:val="18"/>
                <w:szCs w:val="18"/>
              </w:rPr>
              <w:t xml:space="preserve"> occupandosi di temi riguardanti la modellazione numerica </w:t>
            </w:r>
            <w:r w:rsidR="009514D1" w:rsidRPr="00D07434">
              <w:rPr>
                <w:rFonts w:ascii="Verdana" w:hAnsi="Verdana" w:cs="Calibri Light"/>
                <w:sz w:val="18"/>
                <w:szCs w:val="18"/>
              </w:rPr>
              <w:t xml:space="preserve">basata sul Metodo degli Elementi Finiti </w:t>
            </w:r>
            <w:r w:rsidRPr="00D07434">
              <w:rPr>
                <w:rFonts w:ascii="Verdana" w:hAnsi="Verdana" w:cs="Calibri Light"/>
                <w:sz w:val="18"/>
                <w:szCs w:val="18"/>
              </w:rPr>
              <w:t>di grandi strutture civili quali dighe, torri di raffreddamento, opere in calcestruzzo armato.</w:t>
            </w:r>
          </w:p>
          <w:p w14:paraId="7FB3126E" w14:textId="5CD13262" w:rsidR="005C5C50" w:rsidRPr="00D07434" w:rsidRDefault="006D19D3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D07434">
              <w:rPr>
                <w:rFonts w:ascii="Verdana" w:hAnsi="Verdana" w:cs="Calibri Light"/>
                <w:sz w:val="18"/>
                <w:szCs w:val="18"/>
              </w:rPr>
              <w:t>Nel 2002 è passata al CESI nell’ambito della riorganizzazione del settore elettrico nazionale dove ha proseguito le attività di modellazione numerica sulle grandi dighe per Clienti Terzi e nella Ricerca di Sistema</w:t>
            </w:r>
            <w:r w:rsidR="009514D1" w:rsidRPr="00D07434">
              <w:rPr>
                <w:rFonts w:ascii="Verdana" w:hAnsi="Verdana" w:cs="Calibri Light"/>
                <w:sz w:val="18"/>
                <w:szCs w:val="18"/>
              </w:rPr>
              <w:t>, finanziata dal Ministero dello Sviluppo Economico</w:t>
            </w:r>
            <w:r w:rsidRPr="00D07434">
              <w:rPr>
                <w:rFonts w:ascii="Verdana" w:hAnsi="Verdana" w:cs="Calibri Light"/>
                <w:sz w:val="18"/>
                <w:szCs w:val="18"/>
              </w:rPr>
              <w:t>.</w:t>
            </w:r>
          </w:p>
          <w:p w14:paraId="4E8A1677" w14:textId="2E9B9F5D" w:rsidR="00EC78AC" w:rsidRPr="00D07434" w:rsidRDefault="006D19D3" w:rsidP="00E63F5D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D07434">
              <w:rPr>
                <w:rFonts w:ascii="Verdana" w:hAnsi="Verdana" w:cs="Calibri Light"/>
                <w:sz w:val="18"/>
                <w:szCs w:val="18"/>
              </w:rPr>
              <w:t xml:space="preserve">Passata nel 2006 in RSE si è occupata dello sviluppo e applicazione di metodologie innovative di modellazione numerica applicata alle dighe </w:t>
            </w:r>
            <w:r w:rsidR="00E63F5D" w:rsidRPr="00D07434">
              <w:rPr>
                <w:rFonts w:ascii="Verdana" w:hAnsi="Verdana" w:cs="Calibri Light"/>
                <w:sz w:val="18"/>
                <w:szCs w:val="18"/>
              </w:rPr>
              <w:t xml:space="preserve">e </w:t>
            </w:r>
            <w:r w:rsidRPr="00D07434">
              <w:rPr>
                <w:rFonts w:ascii="Verdana" w:hAnsi="Verdana" w:cs="Calibri Light"/>
                <w:sz w:val="18"/>
                <w:szCs w:val="18"/>
              </w:rPr>
              <w:t xml:space="preserve">ha coordinato diversi progetti per Clienti Terzi tra i quali si citano: lo studio dell’intervento di adeguamento della diga di Beauregard di CVA mediante modelli matematici; la modellazione degli effetti idrodinamici sui cassoni del porto di Rijeka per Grandi Lavori FINCOSIT; le analisi numeriche a supporto della progettazione della nuova diga di Ceppo Morelli di EDISON; la valutazione degli effetti dell’impatto di un ammasso roccioso sulla diga di Cignana e di Place Moulin di CVA; le asseverazioni per le condotte forzate degli impianti idroelettrici di Cardano, Lasa, Marlengo, Tel e Lappago di ALPERIA e lo studio degli effetti prodotti da un movimento </w:t>
            </w:r>
            <w:proofErr w:type="spellStart"/>
            <w:r w:rsidRPr="00D07434">
              <w:rPr>
                <w:rFonts w:ascii="Verdana" w:hAnsi="Verdana" w:cs="Calibri Light"/>
                <w:sz w:val="18"/>
                <w:szCs w:val="18"/>
              </w:rPr>
              <w:t>gravitativo</w:t>
            </w:r>
            <w:proofErr w:type="spellEnd"/>
            <w:r w:rsidRPr="00D07434">
              <w:rPr>
                <w:rFonts w:ascii="Verdana" w:hAnsi="Verdana" w:cs="Calibri Light"/>
                <w:sz w:val="18"/>
                <w:szCs w:val="18"/>
              </w:rPr>
              <w:t xml:space="preserve"> di versante sulla condotta forzata di Perrères di CVA. Recentemente si è occupata di verifiche sismiche di dighe in zone ad alta sismicità per le società A2A, EDISON, CBPC e ha applicato una tecnica innovativa nel campo </w:t>
            </w:r>
            <w:r w:rsidR="005C5C50" w:rsidRPr="00D07434">
              <w:rPr>
                <w:rFonts w:ascii="Verdana" w:hAnsi="Verdana" w:cs="Calibri Light"/>
                <w:sz w:val="18"/>
                <w:szCs w:val="18"/>
              </w:rPr>
              <w:t xml:space="preserve">dell’ingegneria </w:t>
            </w:r>
            <w:r w:rsidRPr="00D07434">
              <w:rPr>
                <w:rFonts w:ascii="Verdana" w:hAnsi="Verdana" w:cs="Calibri Light"/>
                <w:sz w:val="18"/>
                <w:szCs w:val="18"/>
              </w:rPr>
              <w:t xml:space="preserve">delle dighe, </w:t>
            </w:r>
            <w:proofErr w:type="spellStart"/>
            <w:r w:rsidRPr="00D07434">
              <w:rPr>
                <w:rFonts w:ascii="Verdana" w:hAnsi="Verdana" w:cs="Calibri Light"/>
                <w:sz w:val="18"/>
                <w:szCs w:val="18"/>
              </w:rPr>
              <w:t>l’eXtended</w:t>
            </w:r>
            <w:proofErr w:type="spellEnd"/>
            <w:r w:rsidRPr="00D07434">
              <w:rPr>
                <w:rFonts w:ascii="Verdana" w:hAnsi="Verdana" w:cs="Calibri Light"/>
                <w:sz w:val="18"/>
                <w:szCs w:val="18"/>
              </w:rPr>
              <w:t xml:space="preserve"> Finite </w:t>
            </w:r>
            <w:proofErr w:type="spellStart"/>
            <w:r w:rsidRPr="00D07434">
              <w:rPr>
                <w:rFonts w:ascii="Verdana" w:hAnsi="Verdana" w:cs="Calibri Light"/>
                <w:sz w:val="18"/>
                <w:szCs w:val="18"/>
              </w:rPr>
              <w:t>Element</w:t>
            </w:r>
            <w:proofErr w:type="spellEnd"/>
            <w:r w:rsidRPr="00D07434">
              <w:rPr>
                <w:rFonts w:ascii="Verdana" w:hAnsi="Verdana" w:cs="Calibri Light"/>
                <w:sz w:val="18"/>
                <w:szCs w:val="18"/>
              </w:rPr>
              <w:t xml:space="preserve"> Method (XFEM), per lo studio della propagazione delle fessure</w:t>
            </w:r>
            <w:r w:rsidR="005C5C50" w:rsidRPr="00D07434">
              <w:rPr>
                <w:rFonts w:ascii="Verdana" w:hAnsi="Verdana" w:cs="Calibri Light"/>
                <w:sz w:val="18"/>
                <w:szCs w:val="18"/>
              </w:rPr>
              <w:t>.</w:t>
            </w:r>
          </w:p>
          <w:p w14:paraId="228CBA2F" w14:textId="0B068AC6" w:rsidR="00EC78AC" w:rsidRPr="00D07434" w:rsidRDefault="005C5C50" w:rsidP="005C5C50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D07434">
              <w:rPr>
                <w:rFonts w:ascii="Verdana" w:hAnsi="Verdana" w:cs="Calibri Light"/>
                <w:sz w:val="18"/>
                <w:szCs w:val="18"/>
              </w:rPr>
              <w:t>Dal 2012 al 2019 ha coordinato diversi progetti di Ricerca di Sistema estendendo il proprio campo di competenza alla valutazione della sicurezza dinamica della rete interconnessa in presenza di incertezze; alla valutazione della resilienza del sistema elettrico a fronte di eventi meteorologici estremi, tenendo conto di azioni di mitigazione attive e passive e di sistemi di previsione e allerta in relazione a specifiche minacce; all’evoluzione e sviluppo della rete di trasmissione per sostener</w:t>
            </w:r>
            <w:r w:rsidR="00E63F5D" w:rsidRPr="00D07434">
              <w:rPr>
                <w:rFonts w:ascii="Verdana" w:hAnsi="Verdana" w:cs="Calibri Light"/>
                <w:sz w:val="18"/>
                <w:szCs w:val="18"/>
              </w:rPr>
              <w:t>n</w:t>
            </w:r>
            <w:r w:rsidRPr="00D07434">
              <w:rPr>
                <w:rFonts w:ascii="Verdana" w:hAnsi="Verdana" w:cs="Calibri Light"/>
                <w:sz w:val="18"/>
                <w:szCs w:val="18"/>
              </w:rPr>
              <w:t xml:space="preserve">e </w:t>
            </w:r>
            <w:r w:rsidR="00E63F5D" w:rsidRPr="00D07434">
              <w:rPr>
                <w:rFonts w:ascii="Verdana" w:hAnsi="Verdana" w:cs="Calibri Light"/>
                <w:sz w:val="18"/>
                <w:szCs w:val="18"/>
              </w:rPr>
              <w:t xml:space="preserve">la </w:t>
            </w:r>
            <w:r w:rsidRPr="00D07434">
              <w:rPr>
                <w:rFonts w:ascii="Verdana" w:hAnsi="Verdana" w:cs="Calibri Light"/>
                <w:sz w:val="18"/>
                <w:szCs w:val="18"/>
              </w:rPr>
              <w:t xml:space="preserve">pianificazione </w:t>
            </w:r>
            <w:r w:rsidR="00E63F5D" w:rsidRPr="00D07434">
              <w:rPr>
                <w:rFonts w:ascii="Verdana" w:hAnsi="Verdana" w:cs="Calibri Light"/>
                <w:sz w:val="18"/>
                <w:szCs w:val="18"/>
              </w:rPr>
              <w:t>tenendo</w:t>
            </w:r>
            <w:r w:rsidRPr="00D07434">
              <w:rPr>
                <w:rFonts w:ascii="Verdana" w:hAnsi="Verdana" w:cs="Calibri Light"/>
                <w:sz w:val="18"/>
                <w:szCs w:val="18"/>
              </w:rPr>
              <w:t xml:space="preserve"> conto di nuove soluzioni tecnologiche, di sistemi di accumulo e delle interconnessioni con altri Paesi, senza trascurare gli aspetti sociali; allo studio di scenari elettrici, energetici e ambientali necessari per tracciare un percorso di crescita sostenibile per il Piano Nazionale Integrato Energia e Clima (PNIEC).</w:t>
            </w:r>
          </w:p>
          <w:p w14:paraId="3DB7EA09" w14:textId="6ADF51BD" w:rsidR="009514D1" w:rsidRPr="00D07434" w:rsidRDefault="009514D1" w:rsidP="00AA76C9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  <w:lang w:val="en-GB"/>
              </w:rPr>
            </w:pPr>
            <w:r w:rsidRPr="00D07434">
              <w:rPr>
                <w:rFonts w:ascii="Verdana" w:hAnsi="Verdana" w:cs="Calibri Light"/>
                <w:sz w:val="18"/>
                <w:szCs w:val="18"/>
              </w:rPr>
              <w:t>In ambito ITCOLD (</w:t>
            </w:r>
            <w:proofErr w:type="spellStart"/>
            <w:r w:rsidRPr="00D07434">
              <w:rPr>
                <w:rFonts w:ascii="Verdana" w:hAnsi="Verdana" w:cs="Calibri Light"/>
                <w:i/>
                <w:iCs/>
                <w:sz w:val="18"/>
                <w:szCs w:val="18"/>
              </w:rPr>
              <w:t>Italian</w:t>
            </w:r>
            <w:proofErr w:type="spellEnd"/>
            <w:r w:rsidRPr="00D07434">
              <w:rPr>
                <w:rFonts w:ascii="Verdana" w:hAnsi="Verdana" w:cs="Calibri Light"/>
                <w:i/>
                <w:iCs/>
                <w:sz w:val="18"/>
                <w:szCs w:val="18"/>
              </w:rPr>
              <w:t xml:space="preserve"> Commission on Large Dams</w:t>
            </w:r>
            <w:r w:rsidRPr="00D07434">
              <w:rPr>
                <w:rFonts w:ascii="Verdana" w:hAnsi="Verdana" w:cs="Calibri Light"/>
                <w:sz w:val="18"/>
                <w:szCs w:val="18"/>
              </w:rPr>
              <w:t xml:space="preserve">) coordina il Gruppo di Lavoro “Comportamento, problemi, ripristino di dighe a gravità alleggerita o a speroni”. Ha collaborato a diversi gruppi di lavoro (“Presidio e vigilanza delle dighe”, “Benefici e problemi associati alla presenza dei serbatoi artificiali sul territorio”) e ha coordinato il sottogruppo “Criteri e metodologie per la valutazione della sicurezza” del gruppo di lavoro sulle “Condotte forzate”. </w:t>
            </w:r>
            <w:r w:rsidRPr="00D07434">
              <w:rPr>
                <w:rFonts w:ascii="Verdana" w:hAnsi="Verdana" w:cs="Calibri Light"/>
                <w:sz w:val="18"/>
                <w:szCs w:val="18"/>
                <w:lang w:val="en-GB"/>
              </w:rPr>
              <w:t xml:space="preserve">Dal 2019 </w:t>
            </w:r>
            <w:proofErr w:type="spellStart"/>
            <w:r w:rsidRPr="00D07434">
              <w:rPr>
                <w:rFonts w:ascii="Verdana" w:hAnsi="Verdana" w:cs="Calibri Light"/>
                <w:sz w:val="18"/>
                <w:szCs w:val="18"/>
                <w:lang w:val="en-GB"/>
              </w:rPr>
              <w:t>coordina</w:t>
            </w:r>
            <w:proofErr w:type="spellEnd"/>
            <w:r w:rsidRPr="00D07434">
              <w:rPr>
                <w:rFonts w:ascii="Verdana" w:hAnsi="Verdana" w:cs="Calibri Light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7434">
              <w:rPr>
                <w:rFonts w:ascii="Verdana" w:hAnsi="Verdana" w:cs="Calibri Light"/>
                <w:sz w:val="18"/>
                <w:szCs w:val="18"/>
                <w:lang w:val="en-GB"/>
              </w:rPr>
              <w:t>l’</w:t>
            </w:r>
            <w:r w:rsidRPr="00D07434">
              <w:rPr>
                <w:rFonts w:ascii="Verdana" w:hAnsi="Verdana" w:cs="Calibri Light"/>
                <w:i/>
                <w:iCs/>
                <w:sz w:val="18"/>
                <w:szCs w:val="18"/>
                <w:lang w:val="en-GB"/>
              </w:rPr>
              <w:t>European</w:t>
            </w:r>
            <w:proofErr w:type="spellEnd"/>
            <w:r w:rsidRPr="00D07434">
              <w:rPr>
                <w:rFonts w:ascii="Verdana" w:hAnsi="Verdana" w:cs="Calibri Light"/>
                <w:i/>
                <w:iCs/>
                <w:sz w:val="18"/>
                <w:szCs w:val="18"/>
                <w:lang w:val="en-GB"/>
              </w:rPr>
              <w:t xml:space="preserve"> Working Group</w:t>
            </w:r>
            <w:r w:rsidRPr="00D07434">
              <w:rPr>
                <w:rFonts w:ascii="Verdana" w:hAnsi="Verdana" w:cs="Calibri Light"/>
                <w:sz w:val="18"/>
                <w:szCs w:val="18"/>
                <w:lang w:val="en-GB"/>
              </w:rPr>
              <w:t xml:space="preserve"> “</w:t>
            </w:r>
            <w:r w:rsidRPr="00D07434">
              <w:rPr>
                <w:rFonts w:ascii="Verdana" w:hAnsi="Verdana" w:cs="Calibri Light"/>
                <w:i/>
                <w:iCs/>
                <w:sz w:val="18"/>
                <w:szCs w:val="18"/>
                <w:lang w:val="en-GB"/>
              </w:rPr>
              <w:t>Penstocks &amp; Pressure Shafts</w:t>
            </w:r>
            <w:r w:rsidRPr="00D07434">
              <w:rPr>
                <w:rFonts w:ascii="Verdana" w:hAnsi="Verdana" w:cs="Calibri Light"/>
                <w:sz w:val="18"/>
                <w:szCs w:val="18"/>
                <w:lang w:val="en-GB"/>
              </w:rPr>
              <w:t xml:space="preserve">” </w:t>
            </w:r>
            <w:proofErr w:type="spellStart"/>
            <w:r w:rsidRPr="00D07434">
              <w:rPr>
                <w:rFonts w:ascii="Verdana" w:hAnsi="Verdana" w:cs="Calibri Light"/>
                <w:sz w:val="18"/>
                <w:szCs w:val="18"/>
                <w:lang w:val="en-GB"/>
              </w:rPr>
              <w:t>dell’ICOLD</w:t>
            </w:r>
            <w:proofErr w:type="spellEnd"/>
            <w:r w:rsidRPr="00D07434">
              <w:rPr>
                <w:rFonts w:ascii="Verdana" w:hAnsi="Verdana" w:cs="Calibri Light"/>
                <w:sz w:val="18"/>
                <w:szCs w:val="18"/>
                <w:lang w:val="en-GB"/>
              </w:rPr>
              <w:t xml:space="preserve"> </w:t>
            </w:r>
            <w:r w:rsidRPr="00D07434">
              <w:rPr>
                <w:rFonts w:ascii="Verdana" w:hAnsi="Verdana" w:cs="Calibri Light"/>
                <w:i/>
                <w:iCs/>
                <w:sz w:val="18"/>
                <w:szCs w:val="18"/>
                <w:lang w:val="en-GB"/>
              </w:rPr>
              <w:t>European Club</w:t>
            </w:r>
            <w:r w:rsidRPr="00D07434">
              <w:rPr>
                <w:rFonts w:ascii="Verdana" w:hAnsi="Verdana" w:cs="Calibri Light"/>
                <w:sz w:val="18"/>
                <w:szCs w:val="18"/>
                <w:lang w:val="en-GB"/>
              </w:rPr>
              <w:t xml:space="preserve"> e fa </w:t>
            </w:r>
            <w:proofErr w:type="spellStart"/>
            <w:r w:rsidRPr="00D07434">
              <w:rPr>
                <w:rFonts w:ascii="Verdana" w:hAnsi="Verdana" w:cs="Calibri Light"/>
                <w:sz w:val="18"/>
                <w:szCs w:val="18"/>
                <w:lang w:val="en-GB"/>
              </w:rPr>
              <w:t>parte</w:t>
            </w:r>
            <w:proofErr w:type="spellEnd"/>
            <w:r w:rsidRPr="00D07434">
              <w:rPr>
                <w:rFonts w:ascii="Verdana" w:hAnsi="Verdana" w:cs="Calibri Light"/>
                <w:sz w:val="18"/>
                <w:szCs w:val="18"/>
                <w:lang w:val="en-GB"/>
              </w:rPr>
              <w:t xml:space="preserve"> del </w:t>
            </w:r>
            <w:r w:rsidRPr="00D07434">
              <w:rPr>
                <w:rFonts w:ascii="Verdana" w:hAnsi="Verdana" w:cs="Calibri Light"/>
                <w:i/>
                <w:iCs/>
                <w:sz w:val="18"/>
                <w:szCs w:val="18"/>
                <w:lang w:val="en-GB"/>
              </w:rPr>
              <w:t>Technical Committee</w:t>
            </w:r>
            <w:r w:rsidRPr="00D07434">
              <w:rPr>
                <w:rFonts w:ascii="Verdana" w:hAnsi="Verdana" w:cs="Calibri Light"/>
                <w:sz w:val="18"/>
                <w:szCs w:val="18"/>
                <w:lang w:val="en-GB"/>
              </w:rPr>
              <w:t xml:space="preserve"> A “Computational Aspects of Analysis and Design of Dams” </w:t>
            </w:r>
            <w:proofErr w:type="spellStart"/>
            <w:r w:rsidRPr="00D07434">
              <w:rPr>
                <w:rFonts w:ascii="Verdana" w:hAnsi="Verdana" w:cs="Calibri Light"/>
                <w:sz w:val="18"/>
                <w:szCs w:val="18"/>
                <w:lang w:val="en-GB"/>
              </w:rPr>
              <w:t>dell’ICOLD</w:t>
            </w:r>
            <w:proofErr w:type="spellEnd"/>
            <w:r w:rsidRPr="00D07434">
              <w:rPr>
                <w:rFonts w:ascii="Verdana" w:hAnsi="Verdana" w:cs="Calibri Light"/>
                <w:sz w:val="18"/>
                <w:szCs w:val="18"/>
                <w:lang w:val="en-GB"/>
              </w:rPr>
              <w:t xml:space="preserve"> (</w:t>
            </w:r>
            <w:r w:rsidRPr="00D07434">
              <w:rPr>
                <w:rFonts w:ascii="Verdana" w:hAnsi="Verdana" w:cs="Calibri Light"/>
                <w:i/>
                <w:iCs/>
                <w:sz w:val="18"/>
                <w:szCs w:val="18"/>
                <w:lang w:val="en-GB"/>
              </w:rPr>
              <w:t>International Commission on Large Dams</w:t>
            </w:r>
            <w:r w:rsidRPr="00D07434">
              <w:rPr>
                <w:rFonts w:ascii="Verdana" w:hAnsi="Verdana" w:cs="Calibri Light"/>
                <w:sz w:val="18"/>
                <w:szCs w:val="18"/>
                <w:lang w:val="en-GB"/>
              </w:rPr>
              <w:t>).</w:t>
            </w:r>
          </w:p>
        </w:tc>
      </w:tr>
    </w:tbl>
    <w:p w14:paraId="5B4DE35D" w14:textId="77777777" w:rsidR="0030754D" w:rsidRPr="00AA76C9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  <w:lang w:val="en-GB"/>
        </w:rPr>
      </w:pPr>
    </w:p>
    <w:p w14:paraId="56184DA9" w14:textId="77777777" w:rsidR="001E3997" w:rsidRPr="00AA76C9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  <w:lang w:val="en-GB"/>
        </w:rPr>
      </w:pPr>
    </w:p>
    <w:p w14:paraId="7D68354A" w14:textId="77777777" w:rsidR="00974510" w:rsidRPr="00AA76C9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  <w:lang w:val="en-GB"/>
        </w:rPr>
      </w:pPr>
    </w:p>
    <w:p w14:paraId="21D1637A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AA76C9">
        <w:rPr>
          <w:rFonts w:ascii="Verdana" w:hAnsi="Verdana" w:cs="Calibri Light"/>
          <w:sz w:val="20"/>
          <w:szCs w:val="20"/>
          <w:lang w:val="en-GB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78E20214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</w:t>
      </w:r>
      <w:proofErr w:type="gramStart"/>
      <w:r>
        <w:rPr>
          <w:rFonts w:ascii="Verdana" w:hAnsi="Verdana" w:cs="Calibri Light"/>
          <w:sz w:val="16"/>
          <w:szCs w:val="16"/>
        </w:rPr>
        <w:t>no</w:t>
      </w:r>
      <w:proofErr w:type="gramEnd"/>
      <w:r>
        <w:rPr>
          <w:rFonts w:ascii="Verdana" w:hAnsi="Verdana" w:cs="Calibri Light"/>
          <w:sz w:val="16"/>
          <w:szCs w:val="16"/>
        </w:rPr>
        <w:t xml:space="preserve">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1176B367" w14:textId="735EADC6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2E112F">
        <w:rPr>
          <w:rFonts w:ascii="Verdana" w:hAnsi="Verdana" w:cs="Calibri Light"/>
          <w:sz w:val="20"/>
          <w:szCs w:val="20"/>
        </w:rPr>
        <w:t>04/02/2022</w:t>
      </w:r>
      <w:r w:rsidRPr="00DD7550">
        <w:rPr>
          <w:rFonts w:ascii="Verdana" w:hAnsi="Verdana" w:cs="Calibri Light"/>
          <w:sz w:val="20"/>
          <w:szCs w:val="20"/>
        </w:rPr>
        <w:tab/>
      </w:r>
      <w:r w:rsidR="002E112F">
        <w:rPr>
          <w:rFonts w:ascii="Verdana" w:hAnsi="Verdana" w:cs="Calibri Light"/>
          <w:sz w:val="20"/>
          <w:szCs w:val="20"/>
        </w:rPr>
        <w:t>Antonella Frigerio</w:t>
      </w:r>
    </w:p>
    <w:sectPr w:rsidR="00DD7550" w:rsidRPr="00DD7550" w:rsidSect="00D07434">
      <w:pgSz w:w="11900" w:h="16840"/>
      <w:pgMar w:top="284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A77E" w14:textId="77777777" w:rsidR="009D79BB" w:rsidRDefault="009D79BB">
      <w:r>
        <w:separator/>
      </w:r>
    </w:p>
  </w:endnote>
  <w:endnote w:type="continuationSeparator" w:id="0">
    <w:p w14:paraId="5BE01A17" w14:textId="77777777" w:rsidR="009D79BB" w:rsidRDefault="009D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8804" w14:textId="77777777" w:rsidR="009D79BB" w:rsidRDefault="009D79BB">
      <w:r>
        <w:separator/>
      </w:r>
    </w:p>
  </w:footnote>
  <w:footnote w:type="continuationSeparator" w:id="0">
    <w:p w14:paraId="7E6996AC" w14:textId="77777777" w:rsidR="009D79BB" w:rsidRDefault="009D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3600"/>
    <w:rsid w:val="0003546D"/>
    <w:rsid w:val="00056479"/>
    <w:rsid w:val="00073D27"/>
    <w:rsid w:val="00091F7F"/>
    <w:rsid w:val="00094AAF"/>
    <w:rsid w:val="000E15B0"/>
    <w:rsid w:val="00101F9D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144F"/>
    <w:rsid w:val="00282D78"/>
    <w:rsid w:val="002E112F"/>
    <w:rsid w:val="002E351D"/>
    <w:rsid w:val="002E38B7"/>
    <w:rsid w:val="0030754D"/>
    <w:rsid w:val="003819A3"/>
    <w:rsid w:val="0038697C"/>
    <w:rsid w:val="00501D1F"/>
    <w:rsid w:val="00527A45"/>
    <w:rsid w:val="005512A1"/>
    <w:rsid w:val="005C5C50"/>
    <w:rsid w:val="005D3709"/>
    <w:rsid w:val="005F198F"/>
    <w:rsid w:val="006112F6"/>
    <w:rsid w:val="006D19D3"/>
    <w:rsid w:val="006E0B3C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514D1"/>
    <w:rsid w:val="00952A8D"/>
    <w:rsid w:val="00965C20"/>
    <w:rsid w:val="00974510"/>
    <w:rsid w:val="0098428E"/>
    <w:rsid w:val="009D79BB"/>
    <w:rsid w:val="009F3ADC"/>
    <w:rsid w:val="00A15A37"/>
    <w:rsid w:val="00A30383"/>
    <w:rsid w:val="00AA76C9"/>
    <w:rsid w:val="00B05433"/>
    <w:rsid w:val="00B059C4"/>
    <w:rsid w:val="00B11E62"/>
    <w:rsid w:val="00B14DCA"/>
    <w:rsid w:val="00C1178A"/>
    <w:rsid w:val="00C64E0B"/>
    <w:rsid w:val="00CB1F14"/>
    <w:rsid w:val="00CC0055"/>
    <w:rsid w:val="00CC1CDC"/>
    <w:rsid w:val="00D07434"/>
    <w:rsid w:val="00D9089B"/>
    <w:rsid w:val="00DA78BF"/>
    <w:rsid w:val="00DD7550"/>
    <w:rsid w:val="00E023EE"/>
    <w:rsid w:val="00E30FE9"/>
    <w:rsid w:val="00E36282"/>
    <w:rsid w:val="00E63F5D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81137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3792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2</cp:revision>
  <dcterms:created xsi:type="dcterms:W3CDTF">2022-02-04T16:16:00Z</dcterms:created>
  <dcterms:modified xsi:type="dcterms:W3CDTF">2022-02-04T16:16:00Z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