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4D" w:rsidRDefault="00CB1F14" w:rsidP="00337C89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Default="00DD7550"/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501398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Francesco Sebastiani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501398">
        <w:trPr>
          <w:trHeight w:val="2037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501398" w:rsidP="00337C89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1997 – Laurea presso Università Bocconi di Milano</w:t>
            </w: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501398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Attualmente </w:t>
            </w:r>
            <w:r>
              <w:rPr>
                <w:rFonts w:ascii="Verdana" w:hAnsi="Verdana" w:cs="Calibri Light"/>
                <w:i/>
                <w:sz w:val="20"/>
                <w:szCs w:val="20"/>
              </w:rPr>
              <w:t xml:space="preserve">Managing </w:t>
            </w:r>
            <w:proofErr w:type="spellStart"/>
            <w:r>
              <w:rPr>
                <w:rFonts w:ascii="Verdana" w:hAnsi="Verdana" w:cs="Calibri Light"/>
                <w:i/>
                <w:sz w:val="20"/>
                <w:szCs w:val="20"/>
              </w:rPr>
              <w:t>Director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di Core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Advisory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Ltd, 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società attiva nella consulenza specializzata per </w:t>
            </w:r>
            <w:proofErr w:type="spellStart"/>
            <w:r w:rsidRPr="00501398">
              <w:rPr>
                <w:rFonts w:ascii="Verdana" w:hAnsi="Verdana" w:cs="Calibri Light"/>
                <w:sz w:val="20"/>
                <w:szCs w:val="20"/>
              </w:rPr>
              <w:t>corporates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che intendono approcciare il capital </w:t>
            </w:r>
            <w:proofErr w:type="spellStart"/>
            <w:r w:rsidRPr="00501398">
              <w:rPr>
                <w:rFonts w:ascii="Verdana" w:hAnsi="Verdana" w:cs="Calibri Light"/>
                <w:sz w:val="20"/>
                <w:szCs w:val="20"/>
              </w:rPr>
              <w:t>markets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e diversificare le proprie fonti di raccolta finanziaria</w:t>
            </w:r>
            <w:r>
              <w:rPr>
                <w:rFonts w:ascii="Verdana" w:hAnsi="Verdana" w:cs="Calibri Light"/>
                <w:sz w:val="20"/>
                <w:szCs w:val="20"/>
              </w:rPr>
              <w:t>.</w:t>
            </w:r>
          </w:p>
          <w:p w:rsidR="00EC78AC" w:rsidRPr="00EC78AC" w:rsidRDefault="00501398" w:rsidP="00501398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Precedentemente alla costituzione di Core </w:t>
            </w:r>
            <w:proofErr w:type="spellStart"/>
            <w:r w:rsidRPr="00501398">
              <w:rPr>
                <w:rFonts w:ascii="Verdana" w:hAnsi="Verdana" w:cs="Calibri Light"/>
                <w:sz w:val="20"/>
                <w:szCs w:val="20"/>
              </w:rPr>
              <w:t>Advisory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, Francesco Sebastiani svolgeva il ruolo di </w:t>
            </w:r>
            <w:proofErr w:type="spellStart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Director</w:t>
            </w:r>
            <w:proofErr w:type="spellEnd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 xml:space="preserve"> in </w:t>
            </w:r>
            <w:proofErr w:type="spellStart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Debt</w:t>
            </w:r>
            <w:proofErr w:type="spellEnd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 xml:space="preserve"> Capital </w:t>
            </w:r>
            <w:proofErr w:type="spellStart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Markets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presso BNP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Paribas, London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Branch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. Negli ultimi 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15 anni, ha assistito, strutturato e collocato un significativo numero di operazioni di emissione di </w:t>
            </w:r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Private Placement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e </w:t>
            </w:r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Public Bond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da parte di </w:t>
            </w:r>
            <w:proofErr w:type="spellStart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corporates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italiane. In particolare, Francesco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Sebastiani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ha strutturato operazioni in </w:t>
            </w:r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Private Placement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per diverse utilities tra cui </w:t>
            </w:r>
            <w:proofErr w:type="spellStart"/>
            <w:r w:rsidRPr="00501398">
              <w:rPr>
                <w:rFonts w:ascii="Verdana" w:hAnsi="Verdana" w:cs="Calibri Light"/>
                <w:sz w:val="20"/>
                <w:szCs w:val="20"/>
              </w:rPr>
              <w:t>Alperia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>, Veritas, ESTRA, SMAT ed ENIA (Gruppo IREN). Prima della propria esperienza a BNP Paribas, Francesco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Sebastiani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ha lavorato presso l’agenzia di </w:t>
            </w:r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rating</w:t>
            </w:r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Moody’s Investors Service a Londra e presso una boutique di </w:t>
            </w:r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 xml:space="preserve">M&amp;A e corporate </w:t>
            </w:r>
            <w:proofErr w:type="spellStart"/>
            <w:r w:rsidRPr="00501398">
              <w:rPr>
                <w:rFonts w:ascii="Verdana" w:hAnsi="Verdana" w:cs="Calibri Light"/>
                <w:i/>
                <w:sz w:val="20"/>
                <w:szCs w:val="20"/>
              </w:rPr>
              <w:t>finance</w:t>
            </w:r>
            <w:proofErr w:type="spellEnd"/>
            <w:r w:rsidRPr="00501398">
              <w:rPr>
                <w:rFonts w:ascii="Verdana" w:hAnsi="Verdana" w:cs="Calibri Light"/>
                <w:sz w:val="20"/>
                <w:szCs w:val="20"/>
              </w:rPr>
              <w:t xml:space="preserve"> a Milano.</w:t>
            </w: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F66D55">
        <w:rPr>
          <w:rFonts w:ascii="Verdana" w:hAnsi="Verdana" w:cs="Calibri Light"/>
          <w:sz w:val="20"/>
          <w:szCs w:val="20"/>
        </w:rPr>
        <w:t>07.07.2021</w:t>
      </w:r>
      <w:bookmarkStart w:id="0" w:name="_GoBack"/>
      <w:bookmarkEnd w:id="0"/>
      <w:r w:rsidRPr="00DD7550">
        <w:rPr>
          <w:rFonts w:ascii="Verdana" w:hAnsi="Verdana" w:cs="Calibri Light"/>
          <w:sz w:val="20"/>
          <w:szCs w:val="20"/>
        </w:rPr>
        <w:tab/>
      </w:r>
      <w:r w:rsidR="00501398">
        <w:rPr>
          <w:rFonts w:ascii="Verdana" w:hAnsi="Verdana" w:cs="Calibri Light"/>
          <w:sz w:val="20"/>
          <w:szCs w:val="20"/>
        </w:rPr>
        <w:t>Francesco Sebastiani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18" w:rsidRDefault="00ED1218">
      <w:r>
        <w:separator/>
      </w:r>
    </w:p>
  </w:endnote>
  <w:endnote w:type="continuationSeparator" w:id="0">
    <w:p w:rsidR="00ED1218" w:rsidRDefault="00ED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18" w:rsidRDefault="00ED1218">
      <w:r>
        <w:separator/>
      </w:r>
    </w:p>
  </w:footnote>
  <w:footnote w:type="continuationSeparator" w:id="0">
    <w:p w:rsidR="00ED1218" w:rsidRDefault="00ED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E351D"/>
    <w:rsid w:val="002E38B7"/>
    <w:rsid w:val="0030754D"/>
    <w:rsid w:val="00337C89"/>
    <w:rsid w:val="003819A3"/>
    <w:rsid w:val="0038697C"/>
    <w:rsid w:val="00501398"/>
    <w:rsid w:val="00501D1F"/>
    <w:rsid w:val="00527A45"/>
    <w:rsid w:val="005512A1"/>
    <w:rsid w:val="005D3709"/>
    <w:rsid w:val="005F198F"/>
    <w:rsid w:val="006112F6"/>
    <w:rsid w:val="006E0B3C"/>
    <w:rsid w:val="00783A9C"/>
    <w:rsid w:val="007931A6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66D55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E4F141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AF5D-F870-4B02-A2AE-46298705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3</cp:revision>
  <dcterms:created xsi:type="dcterms:W3CDTF">2021-05-14T13:28:00Z</dcterms:created>
  <dcterms:modified xsi:type="dcterms:W3CDTF">2021-07-26T09:55:00Z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