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BB94" w14:textId="5AB32FEF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1A788702" w14:textId="77777777" w:rsidR="00DD7550" w:rsidRDefault="00DD7550"/>
    <w:p w14:paraId="1CE01F10" w14:textId="77777777" w:rsidR="00EC78AC" w:rsidRDefault="00EC78AC"/>
    <w:p w14:paraId="5D14594A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529195A" w14:textId="77777777" w:rsidTr="00EC59B3">
        <w:trPr>
          <w:trHeight w:val="397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259BA" w14:textId="797833E1" w:rsidR="00EC78AC" w:rsidRPr="00EC78AC" w:rsidRDefault="00260899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GEBBIA MARIO</w:t>
            </w:r>
          </w:p>
        </w:tc>
      </w:tr>
    </w:tbl>
    <w:p w14:paraId="14BE5103" w14:textId="31A1C21A" w:rsidR="00EC78AC" w:rsidRPr="00EC78AC" w:rsidRDefault="00EC78AC" w:rsidP="00E9020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651B0A6" w14:textId="77777777" w:rsidTr="00EC59B3">
        <w:trPr>
          <w:trHeight w:val="2514"/>
        </w:trPr>
        <w:tc>
          <w:tcPr>
            <w:tcW w:w="10201" w:type="dxa"/>
            <w:vAlign w:val="center"/>
          </w:tcPr>
          <w:tbl>
            <w:tblPr>
              <w:tblW w:w="5000" w:type="pct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5"/>
            </w:tblGrid>
            <w:tr w:rsidR="00260899" w14:paraId="51A71F22" w14:textId="77777777" w:rsidTr="00260899">
              <w:tc>
                <w:tcPr>
                  <w:tcW w:w="3514" w:type="pct"/>
                </w:tcPr>
                <w:p w14:paraId="332F4BEE" w14:textId="77777777" w:rsidR="00260899" w:rsidRDefault="00260899" w:rsidP="00EC59B3">
                  <w:pPr>
                    <w:pStyle w:val="CVNormal"/>
                    <w:ind w:left="0"/>
                    <w:jc w:val="both"/>
                  </w:pPr>
                  <w:r>
                    <w:rPr>
                      <w:rFonts w:ascii="Cambria" w:hAnsi="Cambria" w:cs="Helvetica"/>
                      <w:sz w:val="24"/>
                      <w:szCs w:val="24"/>
                    </w:rPr>
                    <w:t xml:space="preserve">Iscritto all’Albo del Consiglio dell’Ordine di Torino dal dicembre 1995. </w:t>
                  </w:r>
                </w:p>
                <w:p w14:paraId="3880B19E" w14:textId="77777777" w:rsidR="00260899" w:rsidRDefault="00260899" w:rsidP="00EC59B3">
                  <w:pPr>
                    <w:pStyle w:val="CVMajor"/>
                    <w:ind w:left="0"/>
                    <w:jc w:val="both"/>
                    <w:rPr>
                      <w:rFonts w:ascii="Cambria" w:hAnsi="Cambria" w:cs="Helvetica"/>
                      <w:b w:val="0"/>
                      <w:bCs/>
                      <w:szCs w:val="24"/>
                    </w:rPr>
                  </w:pPr>
                </w:p>
                <w:p w14:paraId="3C2AD12A" w14:textId="77777777" w:rsidR="00260899" w:rsidRDefault="00260899" w:rsidP="00EC59B3">
                  <w:pPr>
                    <w:pStyle w:val="CVMajor"/>
                    <w:ind w:left="0"/>
                    <w:jc w:val="both"/>
                    <w:rPr>
                      <w:rFonts w:ascii="Cambria" w:hAnsi="Cambria"/>
                      <w:szCs w:val="24"/>
                    </w:rPr>
                  </w:pPr>
                  <w:r>
                    <w:rPr>
                      <w:rFonts w:ascii="Cambria" w:hAnsi="Cambria" w:cs="Helvetica"/>
                      <w:b w:val="0"/>
                      <w:bCs/>
                      <w:szCs w:val="24"/>
                    </w:rPr>
                    <w:t>Dal 2008 è iscritto all’albo speciale degli avvocati ammessi al patrocinio dinanzi alla Corte di Cassazione ed alle Altre Giurisdizioni Superiori</w:t>
                  </w:r>
                  <w:r>
                    <w:rPr>
                      <w:rFonts w:ascii="Cambria" w:hAnsi="Cambria" w:cs="Helvetica"/>
                      <w:szCs w:val="24"/>
                    </w:rPr>
                    <w:t>.</w:t>
                  </w:r>
                </w:p>
              </w:tc>
            </w:tr>
            <w:tr w:rsidR="00260899" w14:paraId="5C0D10AF" w14:textId="77777777" w:rsidTr="00260899">
              <w:tc>
                <w:tcPr>
                  <w:tcW w:w="3514" w:type="pct"/>
                </w:tcPr>
                <w:p w14:paraId="13624441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cs="Helvetica"/>
                      <w:sz w:val="24"/>
                    </w:rPr>
                  </w:pPr>
                </w:p>
                <w:p w14:paraId="3BE1307B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Dal 2011 fondatore dello Studio Legale Gebbia Bortolotto Penalisti Associati</w:t>
                  </w:r>
                  <w:r>
                    <w:rPr>
                      <w:rStyle w:val="apple-style-span"/>
                      <w:rFonts w:ascii="Helvetica" w:hAnsi="Helvetica" w:cs="Helvetica"/>
                    </w:rPr>
                    <w:t xml:space="preserve"> </w:t>
                  </w: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con sedi a Torino - Milano – Roma, specializzato nell’ambito del diritto penale e, in particolare, nell’ambito del diritto penale d’impresa (D.lgs. 81/08, D.lgs. 152/06, D.lgs. 231/01)</w:t>
                  </w:r>
                </w:p>
                <w:p w14:paraId="490DA15F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2AF48651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01D18BE0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Consulente, nelle suddette materie, di diverse aziende nazionali e gruppi internazionali operanti in vari settori del mercato (energetico, petrolchimico, finanziario, infrastrutturale, ecc.).</w:t>
                  </w:r>
                </w:p>
                <w:p w14:paraId="5EEFB790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2D61E915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203785F9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In ambito processuale ha difeso numerosi amministratori e dirigenti in noti processi penali per reati commessi in violazione delle norme poste a tutela della salute e sicurezza sui luoghi di lavoro, ambientali e contro l’incolumità pubblica.</w:t>
                  </w:r>
                </w:p>
                <w:p w14:paraId="0D1B75E8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7186ED97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Ha inoltre, partecipato, in qualità di difensore, a numerosi processi per delitti contro il patrimonio, contro la fede pubblica e contro il commercio, societari ed urbanistici.</w:t>
                  </w:r>
                </w:p>
                <w:p w14:paraId="6055AF6B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5237758F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E’</w:t>
                  </w:r>
                  <w:proofErr w:type="gramEnd"/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 xml:space="preserve"> stato professore a contratto presso il Politecnico di Torino II Facoltà – Ingegneria Energetica (cattedra di “Elementi di diritto in materia di sicurezza, igiene sul lavoro e ambiente”. A.A. 1998/1999 – 1999/2000 – 2003/2004 – 2004/2005 – 2005/2006 – 2006/2007).</w:t>
                  </w:r>
                </w:p>
                <w:p w14:paraId="34A5D90C" w14:textId="29664D0D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Ha svolto attività di docenza presso la Scuola di Amministrazione Aziendale di Torino, con riferimento alle materie del diritto ambientale e della sicurezza ed igiene sul lavoro (Master Business Administration; Master in esperto ambientale; Master Giuristi d’impresa. A.A. 1998/1999 – 1999/2000 – 2000/2001 – 2001/2002 – 2002/2003 – 2003/2004).</w:t>
                  </w:r>
                </w:p>
                <w:p w14:paraId="54A6AB69" w14:textId="190AC41F" w:rsidR="00B47590" w:rsidRDefault="00B47590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43BEF5BC" w14:textId="77777777" w:rsidR="00B47590" w:rsidRPr="00B47590" w:rsidRDefault="00B47590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 w:rsidRPr="00B47590"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Ha svolto docenza ad una lezione sul tema: “la nozione di luogo di lavoro nella normativa antinfortunistica”.</w:t>
                  </w:r>
                </w:p>
                <w:p w14:paraId="4D129F18" w14:textId="0FE60378" w:rsidR="00B47590" w:rsidRDefault="00B47590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 w:rsidRPr="00B47590"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Università degli Studi di Torino, Cattedra di Diritto Penale del Lavoro, Prof. Davide Petrini (29 marzo 2022)</w:t>
                  </w:r>
                </w:p>
                <w:p w14:paraId="598482FD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  <w:p w14:paraId="4BA217C0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  <w:t>Ha collaborato con gli enti pubblici, prestando attività di consulenza in materia di gestione delle terre e rocce da scavo e predisponendo delle linee guida.</w:t>
                  </w:r>
                </w:p>
                <w:p w14:paraId="2475F38C" w14:textId="77777777" w:rsidR="00260899" w:rsidRDefault="00260899" w:rsidP="00EC59B3">
                  <w:pPr>
                    <w:pStyle w:val="CVNormal"/>
                    <w:ind w:left="0"/>
                    <w:jc w:val="both"/>
                    <w:rPr>
                      <w:rStyle w:val="apple-style-span"/>
                      <w:rFonts w:ascii="Cambria" w:hAnsi="Cambria" w:cs="Helvetica"/>
                      <w:sz w:val="24"/>
                      <w:szCs w:val="24"/>
                    </w:rPr>
                  </w:pPr>
                </w:p>
              </w:tc>
            </w:tr>
          </w:tbl>
          <w:p w14:paraId="104467ED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B5399F6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6F1C1A9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39F1BA2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9F3C1EA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61FBA796" w14:textId="77777777" w:rsid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972F898" w14:textId="77777777" w:rsidR="00EC59B3" w:rsidRDefault="00EC59B3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6762D9FD" w14:textId="0E590DCC" w:rsidR="00EC59B3" w:rsidRPr="00EC78AC" w:rsidRDefault="00EC59B3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6F2C62B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C78AC" w:rsidRPr="001B37F6" w14:paraId="6CD4EF2A" w14:textId="77777777" w:rsidTr="00E9020C">
        <w:tc>
          <w:tcPr>
            <w:tcW w:w="10188" w:type="dxa"/>
          </w:tcPr>
          <w:p w14:paraId="1EFE1781" w14:textId="77777777" w:rsidR="00260899" w:rsidRPr="00B20355" w:rsidRDefault="00260899" w:rsidP="00E9020C">
            <w:pPr>
              <w:pStyle w:val="Corpotesto"/>
              <w:ind w:left="-105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B20355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In ambito processuale ha </w:t>
            </w: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>assistit</w:t>
            </w:r>
            <w:r w:rsidRPr="00B20355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o numerosi </w:t>
            </w: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manager ed </w:t>
            </w:r>
            <w:r w:rsidRPr="00B20355">
              <w:rPr>
                <w:rFonts w:ascii="Cambria" w:hAnsi="Cambria"/>
                <w:sz w:val="24"/>
                <w:szCs w:val="24"/>
                <w:lang w:eastAsia="ar-SA" w:bidi="ar-SA"/>
              </w:rPr>
              <w:t>amministratori in proce</w:t>
            </w: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>dimenti</w:t>
            </w:r>
            <w:r w:rsidRPr="00B20355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penali per reati </w:t>
            </w: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contro la pubblica amministrazione e per reati commessi </w:t>
            </w:r>
            <w:r w:rsidRPr="00B20355">
              <w:rPr>
                <w:rFonts w:ascii="Cambria" w:hAnsi="Cambria"/>
                <w:sz w:val="24"/>
                <w:szCs w:val="24"/>
                <w:lang w:eastAsia="ar-SA" w:bidi="ar-SA"/>
              </w:rPr>
              <w:t>in violazione delle norme poste a tutela della salute e sicurezza sui luoghi di lavoro, ambientali e contro l’incolumità pubblica, nonché in materia di delitti informatici, delitti contro la fede pubblica e contro il commercio, societari ed urbanistici.</w:t>
            </w:r>
          </w:p>
          <w:p w14:paraId="14D871E1" w14:textId="0B57B9B7" w:rsidR="00260899" w:rsidRDefault="00260899" w:rsidP="001B37F6">
            <w:pPr>
              <w:pStyle w:val="Corpotesto"/>
              <w:ind w:left="306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3F7C5D59" w14:textId="77777777" w:rsidR="00B47590" w:rsidRDefault="00B47590" w:rsidP="001B37F6">
            <w:pPr>
              <w:pStyle w:val="Corpotesto"/>
              <w:ind w:left="306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792EDCCF" w14:textId="25BBFCFE" w:rsidR="00260899" w:rsidRPr="00E9020C" w:rsidRDefault="00260899" w:rsidP="00E9020C">
            <w:pPr>
              <w:pStyle w:val="Corpotesto"/>
              <w:ind w:left="-105"/>
              <w:jc w:val="both"/>
              <w:rPr>
                <w:rFonts w:ascii="Cambria" w:hAnsi="Cambria"/>
                <w:b/>
                <w:bCs/>
                <w:color w:val="595959" w:themeColor="text1" w:themeTint="A6"/>
                <w:sz w:val="24"/>
                <w:szCs w:val="24"/>
                <w:lang w:eastAsia="ar-SA" w:bidi="ar-SA"/>
              </w:rPr>
            </w:pPr>
            <w:r w:rsidRPr="00E9020C">
              <w:rPr>
                <w:rFonts w:ascii="Cambria" w:hAnsi="Cambria"/>
                <w:b/>
                <w:bCs/>
                <w:color w:val="595959" w:themeColor="text1" w:themeTint="A6"/>
                <w:sz w:val="24"/>
                <w:szCs w:val="24"/>
                <w:lang w:eastAsia="ar-SA" w:bidi="ar-SA"/>
              </w:rPr>
              <w:t>ATTIVITA’ GIUDIZIALE</w:t>
            </w:r>
          </w:p>
          <w:p w14:paraId="4E957930" w14:textId="77777777" w:rsidR="00260899" w:rsidRDefault="00260899" w:rsidP="00E9020C">
            <w:pPr>
              <w:pStyle w:val="Corpotesto"/>
              <w:ind w:left="-105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B20355">
              <w:rPr>
                <w:rFonts w:ascii="Cambria" w:hAnsi="Cambria"/>
                <w:sz w:val="24"/>
                <w:szCs w:val="24"/>
                <w:lang w:eastAsia="ar-SA" w:bidi="ar-SA"/>
              </w:rPr>
              <w:t>Per motivi di professionalità e riservatezza nei confronti dei propri assistiti, si indicano le contestazioni di alcuni dei principali procedimenti penali di cui si è riferito sulle cronache giudiziarie locali e nazionali, che vengono descritti senza alcun riferimento ai soggetti coinvolti o a ruoli che possano in qualche modo identificarli</w:t>
            </w: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. </w:t>
            </w:r>
          </w:p>
          <w:p w14:paraId="575705F8" w14:textId="77777777" w:rsidR="00260899" w:rsidRDefault="00260899" w:rsidP="00E9020C">
            <w:pPr>
              <w:pStyle w:val="Corpotesto"/>
              <w:ind w:left="-105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In alcuni di questi casi è </w:t>
            </w:r>
            <w:r w:rsidRPr="00B26CB5">
              <w:rPr>
                <w:rFonts w:ascii="Cambria" w:hAnsi="Cambria"/>
                <w:sz w:val="24"/>
                <w:szCs w:val="24"/>
                <w:lang w:eastAsia="ar-SA" w:bidi="ar-SA"/>
              </w:rPr>
              <w:t>stato coinvolto</w:t>
            </w: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anche l’Ente ai sensi del decreto 231.</w:t>
            </w:r>
          </w:p>
          <w:p w14:paraId="7AA92EBE" w14:textId="37E55871" w:rsidR="00EC78AC" w:rsidRPr="00260899" w:rsidRDefault="00EC78AC" w:rsidP="001B37F6">
            <w:pPr>
              <w:pStyle w:val="Corpotesto"/>
              <w:ind w:left="306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747EBB6B" w14:textId="3CE8E5F1" w:rsidR="00260899" w:rsidRPr="00260899" w:rsidRDefault="00260899" w:rsidP="001B37F6">
            <w:pPr>
              <w:pStyle w:val="Corpotesto"/>
              <w:ind w:left="306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4DCA21F2" w14:textId="159FE1AF" w:rsidR="00260899" w:rsidRPr="00E9020C" w:rsidRDefault="00260899" w:rsidP="00E9020C">
            <w:pPr>
              <w:pStyle w:val="Corpotesto"/>
              <w:ind w:left="-105"/>
              <w:jc w:val="both"/>
              <w:rPr>
                <w:rFonts w:ascii="Cambria" w:hAnsi="Cambria"/>
                <w:b/>
                <w:bCs/>
                <w:color w:val="595959" w:themeColor="text1" w:themeTint="A6"/>
                <w:sz w:val="24"/>
                <w:szCs w:val="24"/>
                <w:lang w:eastAsia="ar-SA" w:bidi="ar-SA"/>
              </w:rPr>
            </w:pPr>
            <w:r w:rsidRPr="00E9020C">
              <w:rPr>
                <w:rFonts w:ascii="Cambria" w:hAnsi="Cambria"/>
                <w:b/>
                <w:bCs/>
                <w:color w:val="595959" w:themeColor="text1" w:themeTint="A6"/>
                <w:sz w:val="24"/>
                <w:szCs w:val="24"/>
                <w:lang w:eastAsia="ar-SA" w:bidi="ar-SA"/>
              </w:rPr>
              <w:t>ATTIVITA’ STRAGIUDIZIALE</w:t>
            </w:r>
          </w:p>
          <w:p w14:paraId="2595F122" w14:textId="77777777" w:rsidR="00260899" w:rsidRDefault="00260899" w:rsidP="00E9020C">
            <w:pPr>
              <w:pStyle w:val="Corpotesto"/>
              <w:ind w:left="-105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Nell’ambito dell’attività stragiudiziale, oltre a prestare attività di consulenza nelle materie di competenza dello Studio, ha partecipato a 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ar-SA" w:bidi="ar-SA"/>
              </w:rPr>
              <w:t>team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di lavoro per la redazione di Modelli Organizzativi 231 per numerose società nazionali e gruppi internazionali. </w:t>
            </w:r>
          </w:p>
          <w:p w14:paraId="04506BA3" w14:textId="77777777" w:rsidR="00260899" w:rsidRDefault="00260899" w:rsidP="00E9020C">
            <w:pPr>
              <w:pStyle w:val="Corpotesto"/>
              <w:ind w:left="-105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1C3E0E3B" w14:textId="77777777" w:rsidR="00260899" w:rsidRDefault="00260899" w:rsidP="00E9020C">
            <w:pPr>
              <w:pStyle w:val="Corpotesto"/>
              <w:ind w:left="-105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Un ruolo particolare ha avuto l’attività di consulenza in materia di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governance</w:t>
            </w: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e quindi lo studio e l’implementazione di sistemi di deleghe, anche molto complessi.</w:t>
            </w:r>
          </w:p>
          <w:p w14:paraId="13B33AA3" w14:textId="77777777" w:rsidR="00260899" w:rsidRDefault="00260899" w:rsidP="00E9020C">
            <w:pPr>
              <w:pStyle w:val="Corpotesto"/>
              <w:ind w:left="-105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5DDD4964" w14:textId="77777777" w:rsidR="00260899" w:rsidRDefault="00260899" w:rsidP="00E9020C">
            <w:pPr>
              <w:pStyle w:val="Corpotesto"/>
              <w:ind w:left="-105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Una quota non secondaria dell’attività di consulenza è stata inoltre dedicata alla risoluzione di problematiche tecniche molto specifiche poste dal diritto penale industriale (problematiche sul recupero dei rifiuti; sulla nozione di sottoprodotto; sulla responsabilità del produttore; sulla responsabilità del proprietario di sito contaminato; sulle questioni relative alle analisi dei rifiuti, quali l’incertezza, le modalità di prelievo dei campioni, la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chain of </w:t>
            </w:r>
            <w:proofErr w:type="spellStart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custody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; la gestione dei risultati degli audit; i problemi connessi alla individuazione del CER corretto; sui temi in materia di sicurezza, gestione cantieri, appalti, DVR, DUVRI, PSC, POS; vendita macchine usate; protocolli di gestione rischio Covid; etc.). </w:t>
            </w:r>
          </w:p>
          <w:p w14:paraId="27D3A23C" w14:textId="77777777" w:rsidR="00EC78AC" w:rsidRPr="00260899" w:rsidRDefault="00EC78AC" w:rsidP="001B37F6">
            <w:pPr>
              <w:pStyle w:val="Corpotesto"/>
              <w:ind w:left="306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7D039DC7" w14:textId="77777777" w:rsidR="00EC78AC" w:rsidRPr="00260899" w:rsidRDefault="00EC78AC" w:rsidP="001B37F6">
            <w:pPr>
              <w:pStyle w:val="Corpotesto"/>
              <w:ind w:left="306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610F0475" w14:textId="6DDF82CA" w:rsidR="001B37F6" w:rsidRPr="001B37F6" w:rsidRDefault="001B37F6" w:rsidP="00E9020C">
            <w:pPr>
              <w:pStyle w:val="Corpotesto"/>
              <w:ind w:left="-105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E9020C">
              <w:rPr>
                <w:rFonts w:ascii="Cambria" w:hAnsi="Cambria"/>
                <w:b/>
                <w:bCs/>
                <w:sz w:val="24"/>
                <w:szCs w:val="24"/>
                <w:lang w:eastAsia="ar-SA" w:bidi="ar-SA"/>
              </w:rPr>
              <w:t>PUBBLICAZIONI</w:t>
            </w:r>
            <w:r w:rsidRPr="00E9020C">
              <w:rPr>
                <w:rFonts w:ascii="Cambria" w:hAnsi="Cambria"/>
                <w:b/>
                <w:bCs/>
                <w:sz w:val="24"/>
                <w:szCs w:val="24"/>
                <w:lang w:eastAsia="ar-SA" w:bidi="ar-SA"/>
              </w:rPr>
              <w:br/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Numerose sono le sue pubblicazioni e collaborazioni editoriali in materia di diritto penale del lavoro e ambientale. Tra queste si indicano:</w:t>
            </w:r>
          </w:p>
          <w:p w14:paraId="426A31BB" w14:textId="1DC5E076" w:rsidR="001B37F6" w:rsidRPr="001B37F6" w:rsidRDefault="001B37F6" w:rsidP="001B37F6">
            <w:pPr>
              <w:pStyle w:val="Corpotesto"/>
              <w:ind w:left="306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23D3634E" w14:textId="3F27B72C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“Scusabilità dell’errore. Quali rapporti con la 231?”</w:t>
            </w:r>
            <w:r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Ambiente &amp; Sicurezza n.7/2022 pagg. 72-75;</w:t>
            </w:r>
          </w:p>
          <w:p w14:paraId="7F955C9B" w14:textId="427BA347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“Traffico illecito di rifiuti riscontro sempre più facile”” Ambiente &amp; Sicurezza n.6/2022 pagg. 66-71;</w:t>
            </w:r>
          </w:p>
          <w:p w14:paraId="200EAC22" w14:textId="08B9449A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“Cassazione 2234/2022 una sentenza, tanti temi” Ambiente &amp; Sicurezza n.5/2022 pagg. 64-67;</w:t>
            </w:r>
          </w:p>
          <w:p w14:paraId="6DEE57B6" w14:textId="23FA4847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“Prescrizioni ambientali Stato dell’Arte e sviluppi” Ambiente &amp; Sicurezza n.1/2022 pagg. 67-70;</w:t>
            </w:r>
          </w:p>
          <w:p w14:paraId="6BA7C645" w14:textId="2BE380AD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“Discariche abusive le ultime dalla Cassazione” in Ambiente &amp; Sicurezza n.12/2021 pagg. 73-75;</w:t>
            </w:r>
          </w:p>
          <w:p w14:paraId="1E6E274D" w14:textId="203FF379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“Reato di scarico abusivo. E se manca la volontarietà?” in Ambiente &amp; Sicurezza n.11/2021 pagg. 70-72;</w:t>
            </w:r>
          </w:p>
          <w:p w14:paraId="02E66D8C" w14:textId="5EEA7BBA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“Obiettivo end of </w:t>
            </w:r>
            <w:proofErr w:type="spellStart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waste</w:t>
            </w:r>
            <w:proofErr w:type="spellEnd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quali sviluppi si prospettano” in Ambiente &amp; Sicurezza n.6/2020 pagg. 80-83;</w:t>
            </w:r>
          </w:p>
          <w:p w14:paraId="5D054CA7" w14:textId="6ED3D875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“L’ambiente tra diritto penale e responsabilità ex D.lgs. 231” in Ambiente &amp; Sicurezza n. 5/2020 pagg. 85-91;</w:t>
            </w:r>
          </w:p>
          <w:p w14:paraId="2F5A96BC" w14:textId="0DF46BAF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“Reati ambientali: il rapporto tra incarico e delega” in Ambiente &amp; sicurezza, n. 3/2020, pagg. 78-81;</w:t>
            </w:r>
          </w:p>
          <w:p w14:paraId="415582A3" w14:textId="7B1A0DF8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“Dolo eventuale negli ecoreati. Riflessioni sull’accertamento” in Ambiente &amp; Sicurezza, n.1/2020 pagg.96-98;</w:t>
            </w:r>
          </w:p>
          <w:p w14:paraId="088186FA" w14:textId="06275A83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“Mappa e gestione dei rischi: il cuore del </w:t>
            </w:r>
            <w:proofErr w:type="spellStart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Mog</w:t>
            </w:r>
            <w:proofErr w:type="spellEnd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ex 231” in Ambiente e Sicurezza, 2019, n. 11 pagg. 72-75;</w:t>
            </w:r>
          </w:p>
          <w:p w14:paraId="6C23DD8A" w14:textId="1777DCDF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“Prescrizione ambientale situazione ancora confusa” in Ambiente &amp; Sicurezza, 2018, n. 8, pag. 92;</w:t>
            </w:r>
          </w:p>
          <w:p w14:paraId="36F6E43B" w14:textId="6C611AD2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“End of </w:t>
            </w:r>
            <w:proofErr w:type="spellStart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waste</w:t>
            </w:r>
            <w:proofErr w:type="spellEnd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si può derogare alla legislazione” in Ambiente &amp; Sicurezza, 2019, n. 7, pag. 61;</w:t>
            </w:r>
          </w:p>
          <w:p w14:paraId="389E70E5" w14:textId="3EFD3E2F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“La Confisca quali legami con il diritto ambientale” in Ambiente &amp; Sicurezza, 2019, n. 5, pag. 78;</w:t>
            </w:r>
          </w:p>
          <w:p w14:paraId="315DC348" w14:textId="11DD9031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“Fanghi quale eredità dal decreto Genova” in Ambiente &amp; Sicurezza, 2019, n. 4, pag. 66;</w:t>
            </w:r>
          </w:p>
          <w:p w14:paraId="75195C92" w14:textId="786F401F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“Rifiuti cosa separa l'abusività dall'illecito” in Ambiente &amp; Sicurezza, 2019, n. 2, pag. 77;</w:t>
            </w:r>
          </w:p>
          <w:p w14:paraId="69014ED0" w14:textId="7F7F64E8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“Modelli organizzativi 231 verso un futuro incerto” in Ambiente &amp; Sicurezza, 2019, n. 1, pag. 74;</w:t>
            </w:r>
          </w:p>
          <w:p w14:paraId="7239727A" w14:textId="3B03EB38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“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Reati a “evento differito” interviene la Cassazione, in Ambiente &amp; Sicurezza, 2018, n.11, pag. 101;</w:t>
            </w:r>
          </w:p>
          <w:p w14:paraId="20E9A842" w14:textId="123050AF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“Tenuità del fatto ed enti i risvolti per l’ambiente” in Ambiente &amp; Sicurezza, 2018, n.7, pag.83;</w:t>
            </w:r>
          </w:p>
          <w:p w14:paraId="3EE8C238" w14:textId="2658BF5B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“End of </w:t>
            </w:r>
            <w:proofErr w:type="spellStart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waste</w:t>
            </w:r>
            <w:proofErr w:type="spellEnd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: c’è il rischio di responsabilità penale” in Ambiente &amp; Sicurezza, 2018, n.4, pag.102;</w:t>
            </w:r>
          </w:p>
          <w:p w14:paraId="026FBACF" w14:textId="2ADEF802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“Reati ambientali e 231: la responsabilità degli enti” in Ambiente &amp; Sicurezza, 2018, n.3, pag.104;</w:t>
            </w:r>
          </w:p>
          <w:p w14:paraId="135E5039" w14:textId="3E443E61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“Reati ambientali e confisca: e se il fatto non è punibile?”, in Ambiente &amp; Sicurezza, 2017, n.8, pag.116;</w:t>
            </w:r>
          </w:p>
          <w:p w14:paraId="243856F4" w14:textId="09FBADDE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“Gli obblighi di sicurezza per cedere macchine usate”, in Ambiente &amp; Sicurezza, 2017, n.6, pag.22;</w:t>
            </w:r>
          </w:p>
          <w:p w14:paraId="206C9A9F" w14:textId="051C737C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“Disastro e inquinamento, confronto e applicabilità”, in Ambiente &amp; Sicurezza, 2017, n.5, pag.91;</w:t>
            </w:r>
          </w:p>
          <w:p w14:paraId="01748049" w14:textId="693512D4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“Nuovi delitti ambientali sotto i riflettori dei giudici”, in Ambiente &amp; Sicurezza, 2017, n.3, pag.94;</w:t>
            </w:r>
          </w:p>
          <w:p w14:paraId="6D6A1EAC" w14:textId="51A98146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“Emissioni olfattive e art. 674 del </w:t>
            </w:r>
            <w:proofErr w:type="gramStart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codice penale</w:t>
            </w:r>
            <w:proofErr w:type="gramEnd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”, in Ambiente &amp; Sicurezza, 2017, n.2, pag.97;</w:t>
            </w:r>
          </w:p>
          <w:p w14:paraId="1B27A87F" w14:textId="692E3F7D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“Il ravvedimento operoso nei delitti ambientali”, in Ambiente &amp; Sicurezza, 2017, n.1, pag. 121;</w:t>
            </w:r>
          </w:p>
          <w:p w14:paraId="5B77C077" w14:textId="63C19B6A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“Diritto penale dell’impresa”, diretto da Cesare Parodi, Giuffrè Editore, </w:t>
            </w:r>
            <w:proofErr w:type="gramStart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Ottobre</w:t>
            </w:r>
            <w:proofErr w:type="gramEnd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2016;</w:t>
            </w:r>
          </w:p>
          <w:p w14:paraId="1C1F7524" w14:textId="6C7233F4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“Prescrizione ambientale: una disciplina in evoluzione”, in Ambiente &amp; Sicurezza, 2016, n. 16, pag. </w:t>
            </w:r>
            <w:r w:rsidR="00E9020C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87;</w:t>
            </w:r>
          </w:p>
          <w:p w14:paraId="7DDDACBB" w14:textId="5F123B56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“Superamento concentrazione soglia di rischio e nuovi delitti ambientali: quale rilevanza?”, in Ambiente &amp; Sicurezza, 2016, n. 14, pag. 84;</w:t>
            </w:r>
          </w:p>
          <w:p w14:paraId="3C388D27" w14:textId="3F49D7D1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“Rottami ferrosi e non ferrosi. Le insidie della raccolta, tra “privati” e “ambulanti””, in Ambiente &amp; Sicurezza, 2016, n. 10, pag. 68;</w:t>
            </w:r>
          </w:p>
          <w:p w14:paraId="608BD786" w14:textId="78BD6352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“Legge 68/2015 ed estinzione dei reati ambientali: quale ambito di applicazione?” in Ambiente &amp; Sicurezza, 2016, n.4, pag. 72;</w:t>
            </w:r>
          </w:p>
          <w:p w14:paraId="6FD81F05" w14:textId="483F1AE4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="00825439">
              <w:rPr>
                <w:rFonts w:ascii="Cambria" w:hAnsi="Cambria"/>
                <w:sz w:val="24"/>
                <w:szCs w:val="24"/>
                <w:lang w:eastAsia="ar-SA" w:bidi="ar-SA"/>
              </w:rPr>
              <w:t>“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Il D.lgs. n. 105/2015 in materia di rischi di incidenti rilevanti</w:t>
            </w:r>
            <w:r w:rsidR="00825439">
              <w:rPr>
                <w:rFonts w:ascii="Cambria" w:hAnsi="Cambria"/>
                <w:sz w:val="24"/>
                <w:szCs w:val="24"/>
                <w:lang w:eastAsia="ar-SA" w:bidi="ar-SA"/>
              </w:rPr>
              <w:t>”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in Ambiente &amp; Sicurezza, 2015, n. 18, pag. 85;</w:t>
            </w:r>
          </w:p>
          <w:p w14:paraId="512AFFDF" w14:textId="367BAD03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“L’omessa bonifica nel sistema sanzionatorio ambientale”, in Ambiente &amp; Sicurezza, 2015, n. 16, pag. 95;</w:t>
            </w:r>
          </w:p>
          <w:p w14:paraId="79A6EDFE" w14:textId="0FA57E35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“I nuovi delitti ambientali (l. 22 maggio 2015, n. 68)”, Giuffré Editore, Milano, giugno 2015;</w:t>
            </w:r>
          </w:p>
          <w:p w14:paraId="14051D44" w14:textId="34F7E7DB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="00825439">
              <w:rPr>
                <w:rFonts w:ascii="Cambria" w:hAnsi="Cambria"/>
                <w:sz w:val="24"/>
                <w:szCs w:val="24"/>
                <w:lang w:eastAsia="ar-SA" w:bidi="ar-SA"/>
              </w:rPr>
              <w:t>“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Reati ambientali ed esclusione della punibilità per tenuità del fatto: quali prospettive?” in Ambiente e Sicurezza, 2015, n. 14, pag. 72;</w:t>
            </w:r>
          </w:p>
          <w:p w14:paraId="23407413" w14:textId="26E928D8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“Reato di disastro ambientale: il momento della ‘consumazione</w:t>
            </w:r>
            <w:r w:rsidR="00825439">
              <w:rPr>
                <w:rFonts w:ascii="Cambria" w:hAnsi="Cambria"/>
                <w:sz w:val="24"/>
                <w:szCs w:val="24"/>
                <w:lang w:eastAsia="ar-SA" w:bidi="ar-SA"/>
              </w:rPr>
              <w:t>!”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, in Ambiente e Sicurezza, 2015, n. 6, pag. 103;</w:t>
            </w:r>
          </w:p>
          <w:p w14:paraId="7AB1C37B" w14:textId="3EB5FBF8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“Riutilizzo di residui e normativa sui rifiuti”, in Ambiente e Sicurezza, 2015, n. 2, pag. 60;</w:t>
            </w:r>
          </w:p>
          <w:p w14:paraId="10A549EF" w14:textId="22DDA6EF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“Modelli di gestione e organizzazione: strumento di difesa per gli enti?” in Ambiente e Sicurezza, 2014, n. 5, pag. 19;</w:t>
            </w:r>
          </w:p>
          <w:p w14:paraId="3012203B" w14:textId="111015AB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“Autorizzazione integrata ambientale: le modifiche dell’apparato sanzionatorio” in Ambiente e Sicurezza, 2014, n. 22, pag. 79;</w:t>
            </w:r>
          </w:p>
          <w:p w14:paraId="426B3912" w14:textId="1949BA55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“La delega in materia ambientale aspetti legislativi e giurisprudenziali” in Ambiente e Sicurezza 5, 2013, p. 72;</w:t>
            </w:r>
          </w:p>
          <w:p w14:paraId="267945E0" w14:textId="4C1BAE47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="00825439">
              <w:rPr>
                <w:rFonts w:ascii="Cambria" w:hAnsi="Cambria"/>
                <w:sz w:val="24"/>
                <w:szCs w:val="24"/>
                <w:lang w:eastAsia="ar-SA" w:bidi="ar-SA"/>
              </w:rPr>
              <w:t>“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Gestione dei rifiuti in cantiere: i soggetti penalmente responsabili”, in Ambiente &amp; Sicurezza, 2013, pag. 79;</w:t>
            </w:r>
          </w:p>
          <w:p w14:paraId="157A7027" w14:textId="786BCB31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“Condotta imprudente del lavoratore: la valutazione tra nesso e colpa” in Ambiente &amp; Sicurezza, 2013, pag. 27;</w:t>
            </w:r>
          </w:p>
          <w:p w14:paraId="152D507A" w14:textId="0A72F09A" w:rsidR="001B37F6" w:rsidRPr="001B37F6" w:rsidRDefault="001B37F6" w:rsidP="00206B10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“La 231 ambientale”, Gruppo 24 ore, Milano, maggio 2012;</w:t>
            </w:r>
          </w:p>
          <w:p w14:paraId="067516AA" w14:textId="12719051" w:rsidR="001B37F6" w:rsidRPr="001B37F6" w:rsidRDefault="001B37F6" w:rsidP="00825439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825439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“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Soluzione sottoprodotto: scelta a rischio contestazione per il produttore del residuo”, in Ambiente &amp; Sicurezza 2011, 10, 85;</w:t>
            </w:r>
          </w:p>
          <w:p w14:paraId="54F33007" w14:textId="4B871D80" w:rsidR="001B37F6" w:rsidRPr="001B37F6" w:rsidRDefault="001B37F6" w:rsidP="00825439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“Quale tutela per gli operatori nelle forniture ai cantieri?” in Ambiente &amp; Sicurezza, 2010, 2, 27;</w:t>
            </w:r>
          </w:p>
          <w:p w14:paraId="10866632" w14:textId="69C16D60" w:rsidR="001B37F6" w:rsidRPr="001B37F6" w:rsidRDefault="001B37F6" w:rsidP="00825439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“Le novità sulla delega tra limiti e dovere di controllo”, in Ambiente &amp; Sicurezza, 2009;</w:t>
            </w:r>
          </w:p>
          <w:p w14:paraId="0F0B43FD" w14:textId="2C01347A" w:rsidR="001B37F6" w:rsidRPr="001B37F6" w:rsidRDefault="001B37F6" w:rsidP="00825439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“Il divieto di subdelega sui doveri della sicurezza è solo un mito da sfatare?” in Ambiente &amp; Sicurezza, focus T.U. articolo, 2009, n. 11;</w:t>
            </w:r>
          </w:p>
          <w:p w14:paraId="3E3C00C0" w14:textId="4E1DC316" w:rsidR="001B37F6" w:rsidRPr="001B37F6" w:rsidRDefault="001B37F6" w:rsidP="00825439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“I soggetti penalmente responsabili in materia di sicurezza e igiene sul lavoro”, Il sole 24 ore, Milano, 2008;</w:t>
            </w:r>
          </w:p>
          <w:p w14:paraId="1EF5964D" w14:textId="22D1728D" w:rsidR="001B37F6" w:rsidRPr="001B37F6" w:rsidRDefault="001B37F6" w:rsidP="00825439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“Tra delega e data certa alcune importanti riflessioni sulla valutazione del rumore”, in Ambiente &amp; Sicurezza, 2008, 18;</w:t>
            </w:r>
          </w:p>
          <w:p w14:paraId="4E93C590" w14:textId="033B170C" w:rsidR="001B37F6" w:rsidRPr="001B37F6" w:rsidRDefault="001B37F6" w:rsidP="00825439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“Inquinamento e omessa bonifica: un presupposto di fatto ed una condotta omissiva a patto che siano riferibili alla stessa persona fisica. Nota sull’art. 51 bis D.lgs. 22/1997”, in Sicurezza e Notizie, 1;</w:t>
            </w:r>
          </w:p>
          <w:p w14:paraId="160F0AFE" w14:textId="66B6EBEB" w:rsidR="001B37F6" w:rsidRPr="001B37F6" w:rsidRDefault="001B37F6" w:rsidP="00825439">
            <w:pPr>
              <w:pStyle w:val="Corpotesto"/>
              <w:ind w:left="179" w:hanging="284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="00206B10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</w:t>
            </w:r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“Inquinamento e omessa bonifica: un presupposto di fatto ed una condotta omissiva a patto che siano riferibili alla stessa persona fisica. Note sull’art. 51 bis </w:t>
            </w:r>
            <w:proofErr w:type="spellStart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>D.Lgs.</w:t>
            </w:r>
            <w:proofErr w:type="spellEnd"/>
            <w:r w:rsidRPr="001B37F6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22/1997“, in GEAM, Geoingegneria Ambientale e Mineraria, 2005, 4;</w:t>
            </w:r>
          </w:p>
          <w:p w14:paraId="5A257868" w14:textId="77777777" w:rsidR="001B37F6" w:rsidRPr="001B37F6" w:rsidRDefault="001B37F6" w:rsidP="00E9020C">
            <w:pPr>
              <w:pStyle w:val="Corpotesto"/>
              <w:ind w:hanging="105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0EC8CE29" w14:textId="77777777" w:rsidR="00EC78AC" w:rsidRPr="00260899" w:rsidRDefault="00EC78AC" w:rsidP="001B37F6">
            <w:pPr>
              <w:pStyle w:val="Corpotesto"/>
              <w:ind w:left="306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6DD7FE3D" w14:textId="77777777" w:rsidR="001466C3" w:rsidRDefault="001466C3" w:rsidP="00825439">
            <w:pPr>
              <w:pStyle w:val="Corpotesto"/>
              <w:ind w:left="306" w:hanging="269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825439">
              <w:rPr>
                <w:rFonts w:ascii="Cambria" w:hAnsi="Cambria"/>
                <w:b/>
                <w:bCs/>
                <w:sz w:val="24"/>
                <w:szCs w:val="24"/>
                <w:lang w:eastAsia="ar-SA" w:bidi="ar-SA"/>
              </w:rPr>
              <w:t>PARTECIPAZIONE A CONVEGNI QUALE RELATORE</w:t>
            </w:r>
          </w:p>
          <w:p w14:paraId="58944243" w14:textId="124167BE" w:rsidR="001466C3" w:rsidRPr="001466C3" w:rsidRDefault="001466C3" w:rsidP="00825439">
            <w:pPr>
              <w:pStyle w:val="Corpotesto"/>
              <w:ind w:firstLine="37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Ha svolto numerose docenze in corsi e convegni in materia di diritto ambientale ed in tema di diritto penale del lavoro (ad es. Unioni Industriali di Torino, Verbania, Cuneo; C.S.A.O.; ISPER; SOGES; Ordini professionali; </w:t>
            </w:r>
            <w:proofErr w:type="spellStart"/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>Ecolavservice</w:t>
            </w:r>
            <w:proofErr w:type="spellEnd"/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; </w:t>
            </w:r>
            <w:proofErr w:type="spellStart"/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>Ecosafe</w:t>
            </w:r>
            <w:proofErr w:type="spellEnd"/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; </w:t>
            </w:r>
            <w:proofErr w:type="spellStart"/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>Ascomforma</w:t>
            </w:r>
            <w:proofErr w:type="spellEnd"/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Cuneo; Collegio Ingegneri di Cuneo, Saluzzo, Bra, Istituto Tecnico Professionale di Piacenza).</w:t>
            </w:r>
          </w:p>
          <w:p w14:paraId="4ABEF6E8" w14:textId="77777777" w:rsidR="001466C3" w:rsidRPr="001466C3" w:rsidRDefault="001466C3" w:rsidP="00825439">
            <w:pPr>
              <w:pStyle w:val="Corpotesto"/>
              <w:ind w:firstLine="37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>Si segnalano tra i più recenti:</w:t>
            </w:r>
          </w:p>
          <w:p w14:paraId="1B12F1B5" w14:textId="77777777" w:rsidR="001466C3" w:rsidRPr="001466C3" w:rsidRDefault="001466C3" w:rsidP="00825439">
            <w:pPr>
              <w:pStyle w:val="Corpotesto"/>
              <w:ind w:firstLine="37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40CF74E9" w14:textId="0B1207C2" w:rsidR="001466C3" w:rsidRPr="001466C3" w:rsidRDefault="001466C3" w:rsidP="00825439">
            <w:pPr>
              <w:pStyle w:val="Corpotesto"/>
              <w:ind w:left="179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>• 05/5/2022 – Ordine degli Avvocati di Torino - “Prescrizione ed Improcedibilità: le Novità della Riforma Cartabia”</w:t>
            </w:r>
          </w:p>
          <w:p w14:paraId="71C4E569" w14:textId="77777777" w:rsidR="001466C3" w:rsidRPr="001466C3" w:rsidRDefault="001466C3" w:rsidP="00825439">
            <w:pPr>
              <w:pStyle w:val="Corpotesto"/>
              <w:ind w:left="179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ab/>
              <w:t>29/3/2022 – Università degli Studi di Torino - Attività di docenza ad una lezione sul tema: “la nozione di luogo di lavoro nella normativa antinfortunistica”.</w:t>
            </w:r>
          </w:p>
          <w:p w14:paraId="29A1D406" w14:textId="77777777" w:rsidR="001466C3" w:rsidRPr="001466C3" w:rsidRDefault="001466C3" w:rsidP="00825439">
            <w:pPr>
              <w:pStyle w:val="Corpotesto"/>
              <w:ind w:left="179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Cattedra di Diritto Penale del Lavoro, Prof. Davide Petrini </w:t>
            </w:r>
          </w:p>
          <w:p w14:paraId="404FACCB" w14:textId="77777777" w:rsidR="001466C3" w:rsidRPr="001466C3" w:rsidRDefault="001466C3" w:rsidP="00825439">
            <w:pPr>
              <w:pStyle w:val="Corpotesto"/>
              <w:ind w:left="179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ab/>
              <w:t>25/1/2016 - Scuola Superiore della Magistratura - Struttura Didattica Territoriale del Distretto della Corte di Appello di Torino – “Sicurezza nella scuola: verso una responsabilità chiara e sostenibile”, con intervento dal titolo “La difesa nei processi per infortuni in sede scolastica: il rifiuto della logica del capro espiatorio”;</w:t>
            </w:r>
          </w:p>
          <w:p w14:paraId="4BA4AD94" w14:textId="77777777" w:rsidR="001466C3" w:rsidRPr="001466C3" w:rsidRDefault="001466C3" w:rsidP="00825439">
            <w:pPr>
              <w:pStyle w:val="Corpotesto"/>
              <w:ind w:left="179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>•</w:t>
            </w: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ab/>
              <w:t>19/11/2015 - ASAP Service Management Forum: “Logistica dei ricambi e gestione di rifiuti speciali per l'assistenza tecnica on-site”, con intervento dal titolo “Gestione e trasporto rifiuti da manutenzione: aspetti legali”;</w:t>
            </w:r>
          </w:p>
          <w:p w14:paraId="07A3EBB3" w14:textId="77777777" w:rsidR="001466C3" w:rsidRPr="001466C3" w:rsidRDefault="001466C3" w:rsidP="00825439">
            <w:pPr>
              <w:pStyle w:val="Corpotesto"/>
              <w:ind w:left="179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>• 30/6/2015 - Unione industriale di Torino: “I nuovi delitti in materia ambientale”;</w:t>
            </w:r>
          </w:p>
          <w:p w14:paraId="4899BFE7" w14:textId="0F20B39B" w:rsidR="00EC78AC" w:rsidRPr="00260899" w:rsidRDefault="001466C3" w:rsidP="00825439">
            <w:pPr>
              <w:pStyle w:val="Corpotesto"/>
              <w:ind w:left="179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• 21/4/2015 – </w:t>
            </w:r>
            <w:proofErr w:type="spellStart"/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>Optime</w:t>
            </w:r>
            <w:proofErr w:type="spellEnd"/>
            <w:r w:rsidRPr="001466C3">
              <w:rPr>
                <w:rFonts w:ascii="Cambria" w:hAnsi="Cambria"/>
                <w:sz w:val="24"/>
                <w:szCs w:val="24"/>
                <w:lang w:eastAsia="ar-SA" w:bidi="ar-SA"/>
              </w:rPr>
              <w:t xml:space="preserve"> – “Rischio amianto. Le criticità più ricorrenti nella gestione del rischio. Le responsabilità dei soggetti. La recente giurisprudenza”.</w:t>
            </w:r>
          </w:p>
          <w:p w14:paraId="2D58BF9A" w14:textId="77777777" w:rsidR="00EC78AC" w:rsidRPr="00260899" w:rsidRDefault="00EC78AC" w:rsidP="00825439">
            <w:pPr>
              <w:pStyle w:val="Corpotesto"/>
              <w:ind w:firstLine="37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  <w:p w14:paraId="40BB4F10" w14:textId="77777777" w:rsidR="00EC78AC" w:rsidRPr="00260899" w:rsidRDefault="00EC78AC" w:rsidP="001B37F6">
            <w:pPr>
              <w:pStyle w:val="Corpotesto"/>
              <w:ind w:left="306" w:hanging="142"/>
              <w:jc w:val="both"/>
              <w:rPr>
                <w:rFonts w:ascii="Cambria" w:hAnsi="Cambria"/>
                <w:sz w:val="24"/>
                <w:szCs w:val="24"/>
                <w:lang w:eastAsia="ar-SA" w:bidi="ar-SA"/>
              </w:rPr>
            </w:pPr>
          </w:p>
        </w:tc>
      </w:tr>
    </w:tbl>
    <w:p w14:paraId="3FE81864" w14:textId="77777777" w:rsidR="0030754D" w:rsidRPr="001B37F6" w:rsidRDefault="0030754D" w:rsidP="001B37F6">
      <w:pPr>
        <w:pStyle w:val="Corpotesto"/>
        <w:ind w:left="306" w:hanging="142"/>
        <w:jc w:val="both"/>
        <w:rPr>
          <w:rFonts w:ascii="Cambria" w:hAnsi="Cambria"/>
          <w:sz w:val="24"/>
          <w:szCs w:val="24"/>
          <w:lang w:eastAsia="ar-SA" w:bidi="ar-SA"/>
        </w:rPr>
      </w:pPr>
    </w:p>
    <w:p w14:paraId="45FC912A" w14:textId="77777777" w:rsidR="001E3997" w:rsidRPr="001B37F6" w:rsidRDefault="001E3997" w:rsidP="001B37F6">
      <w:pPr>
        <w:pStyle w:val="Corpotesto"/>
        <w:ind w:left="306" w:hanging="142"/>
        <w:jc w:val="both"/>
        <w:rPr>
          <w:rFonts w:ascii="Cambria" w:hAnsi="Cambria"/>
          <w:sz w:val="24"/>
          <w:szCs w:val="24"/>
          <w:lang w:eastAsia="ar-SA" w:bidi="ar-SA"/>
        </w:rPr>
      </w:pPr>
    </w:p>
    <w:p w14:paraId="0559D420" w14:textId="77777777" w:rsidR="00974510" w:rsidRPr="001B37F6" w:rsidRDefault="00974510" w:rsidP="001B37F6">
      <w:pPr>
        <w:pStyle w:val="Corpotesto"/>
        <w:ind w:left="306" w:hanging="142"/>
        <w:jc w:val="both"/>
        <w:rPr>
          <w:rFonts w:ascii="Cambria" w:hAnsi="Cambria"/>
          <w:sz w:val="24"/>
          <w:szCs w:val="24"/>
          <w:lang w:eastAsia="ar-SA" w:bidi="ar-SA"/>
        </w:rPr>
      </w:pPr>
    </w:p>
    <w:p w14:paraId="622B7743" w14:textId="7496EABE" w:rsidR="00DD7550" w:rsidRPr="001B37F6" w:rsidRDefault="00DD7550" w:rsidP="001B37F6">
      <w:pPr>
        <w:pStyle w:val="Corpotesto"/>
        <w:ind w:left="306" w:hanging="142"/>
        <w:jc w:val="both"/>
        <w:rPr>
          <w:rFonts w:ascii="Cambria" w:hAnsi="Cambria"/>
          <w:sz w:val="24"/>
          <w:szCs w:val="24"/>
          <w:lang w:eastAsia="ar-SA" w:bidi="ar-SA"/>
        </w:rPr>
      </w:pPr>
      <w:r w:rsidRPr="001B37F6">
        <w:rPr>
          <w:rFonts w:ascii="Cambria" w:hAnsi="Cambria"/>
          <w:sz w:val="24"/>
          <w:szCs w:val="24"/>
          <w:lang w:eastAsia="ar-SA" w:bidi="ar-SA"/>
        </w:rPr>
        <w:tab/>
      </w:r>
    </w:p>
    <w:p w14:paraId="7E5A98EB" w14:textId="77777777" w:rsidR="001466C3" w:rsidRDefault="00DD7550" w:rsidP="001B37F6">
      <w:pPr>
        <w:pStyle w:val="Corpotesto"/>
        <w:ind w:left="306" w:hanging="142"/>
        <w:jc w:val="both"/>
        <w:rPr>
          <w:rFonts w:ascii="Verdana" w:hAnsi="Verdana" w:cs="Calibri Light"/>
          <w:sz w:val="20"/>
          <w:szCs w:val="20"/>
        </w:rPr>
      </w:pPr>
      <w:r w:rsidRPr="001B37F6">
        <w:rPr>
          <w:rFonts w:ascii="Cambria" w:hAnsi="Cambria"/>
          <w:sz w:val="24"/>
          <w:szCs w:val="24"/>
          <w:lang w:eastAsia="ar-SA" w:bidi="ar-SA"/>
        </w:rPr>
        <w:t xml:space="preserve">Data: </w:t>
      </w:r>
      <w:r w:rsidR="001466C3">
        <w:rPr>
          <w:rFonts w:ascii="Cambria" w:hAnsi="Cambria"/>
          <w:sz w:val="24"/>
          <w:szCs w:val="24"/>
          <w:lang w:eastAsia="ar-SA" w:bidi="ar-SA"/>
        </w:rPr>
        <w:t>Torino, 19 settembre 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1466C3">
        <w:rPr>
          <w:rFonts w:ascii="Verdana" w:hAnsi="Verdana" w:cs="Calibri Light"/>
          <w:sz w:val="20"/>
          <w:szCs w:val="20"/>
        </w:rPr>
        <w:t xml:space="preserve">                                  </w:t>
      </w:r>
    </w:p>
    <w:p w14:paraId="388B228D" w14:textId="6E0411C5" w:rsidR="00DD7550" w:rsidRPr="00DD7550" w:rsidRDefault="001466C3" w:rsidP="001466C3">
      <w:pPr>
        <w:pStyle w:val="Corpotesto"/>
        <w:ind w:left="306" w:firstLine="414"/>
        <w:jc w:val="right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Avv. </w:t>
      </w:r>
      <w:r w:rsidR="00260899">
        <w:rPr>
          <w:rFonts w:ascii="Verdana" w:hAnsi="Verdana" w:cs="Calibri Light"/>
          <w:sz w:val="20"/>
          <w:szCs w:val="20"/>
        </w:rPr>
        <w:t>M</w:t>
      </w:r>
      <w:r>
        <w:rPr>
          <w:rFonts w:ascii="Verdana" w:hAnsi="Verdana" w:cs="Calibri Light"/>
          <w:sz w:val="20"/>
          <w:szCs w:val="20"/>
        </w:rPr>
        <w:t>ario</w:t>
      </w:r>
      <w:r w:rsidR="00260899">
        <w:rPr>
          <w:rFonts w:ascii="Verdana" w:hAnsi="Verdana" w:cs="Calibri Light"/>
          <w:sz w:val="20"/>
          <w:szCs w:val="20"/>
        </w:rPr>
        <w:t xml:space="preserve"> G</w:t>
      </w:r>
      <w:r>
        <w:rPr>
          <w:rFonts w:ascii="Verdana" w:hAnsi="Verdana" w:cs="Calibri Light"/>
          <w:sz w:val="20"/>
          <w:szCs w:val="20"/>
        </w:rPr>
        <w:t>ebbia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3D3F" w14:textId="77777777" w:rsidR="00501D1F" w:rsidRDefault="00501D1F">
      <w:r>
        <w:separator/>
      </w:r>
    </w:p>
  </w:endnote>
  <w:endnote w:type="continuationSeparator" w:id="0">
    <w:p w14:paraId="1606A400" w14:textId="77777777" w:rsidR="00501D1F" w:rsidRDefault="0050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5390" w14:textId="77777777" w:rsidR="00501D1F" w:rsidRDefault="00501D1F">
      <w:r>
        <w:separator/>
      </w:r>
    </w:p>
  </w:footnote>
  <w:footnote w:type="continuationSeparator" w:id="0">
    <w:p w14:paraId="1094E0A0" w14:textId="77777777" w:rsidR="00501D1F" w:rsidRDefault="0050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A5D1B95"/>
    <w:multiLevelType w:val="hybridMultilevel"/>
    <w:tmpl w:val="D382E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41974">
    <w:abstractNumId w:val="1"/>
  </w:num>
  <w:num w:numId="2" w16cid:durableId="1187794403">
    <w:abstractNumId w:val="0"/>
  </w:num>
  <w:num w:numId="3" w16cid:durableId="485827991">
    <w:abstractNumId w:val="3"/>
  </w:num>
  <w:num w:numId="4" w16cid:durableId="563489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143EC0"/>
    <w:rsid w:val="001466C3"/>
    <w:rsid w:val="00153ADA"/>
    <w:rsid w:val="00171C5E"/>
    <w:rsid w:val="001A034D"/>
    <w:rsid w:val="001B37F6"/>
    <w:rsid w:val="001D4941"/>
    <w:rsid w:val="001E3997"/>
    <w:rsid w:val="00206B10"/>
    <w:rsid w:val="00223454"/>
    <w:rsid w:val="00260899"/>
    <w:rsid w:val="0027144F"/>
    <w:rsid w:val="00282D78"/>
    <w:rsid w:val="002E351D"/>
    <w:rsid w:val="002E38B7"/>
    <w:rsid w:val="0030754D"/>
    <w:rsid w:val="00317968"/>
    <w:rsid w:val="003819A3"/>
    <w:rsid w:val="0038697C"/>
    <w:rsid w:val="00501D1F"/>
    <w:rsid w:val="00527A45"/>
    <w:rsid w:val="005512A1"/>
    <w:rsid w:val="005D3709"/>
    <w:rsid w:val="006112F6"/>
    <w:rsid w:val="006E0B3C"/>
    <w:rsid w:val="00783A9C"/>
    <w:rsid w:val="007931A6"/>
    <w:rsid w:val="007F2590"/>
    <w:rsid w:val="00806BF7"/>
    <w:rsid w:val="00825439"/>
    <w:rsid w:val="00826DF1"/>
    <w:rsid w:val="008A1D05"/>
    <w:rsid w:val="008F4A5F"/>
    <w:rsid w:val="00952A8D"/>
    <w:rsid w:val="00965C20"/>
    <w:rsid w:val="00974510"/>
    <w:rsid w:val="0098428E"/>
    <w:rsid w:val="009F3ADC"/>
    <w:rsid w:val="00A30383"/>
    <w:rsid w:val="00A336DD"/>
    <w:rsid w:val="00B05433"/>
    <w:rsid w:val="00B059C4"/>
    <w:rsid w:val="00B11E62"/>
    <w:rsid w:val="00B14DCA"/>
    <w:rsid w:val="00B47590"/>
    <w:rsid w:val="00C64E0B"/>
    <w:rsid w:val="00C85873"/>
    <w:rsid w:val="00CB1F14"/>
    <w:rsid w:val="00CC0055"/>
    <w:rsid w:val="00CC1CDC"/>
    <w:rsid w:val="00D9089B"/>
    <w:rsid w:val="00DA78BF"/>
    <w:rsid w:val="00DD7550"/>
    <w:rsid w:val="00E30FE9"/>
    <w:rsid w:val="00E36282"/>
    <w:rsid w:val="00E9020C"/>
    <w:rsid w:val="00EC59B3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813BD4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CVMajor">
    <w:name w:val="CV Major"/>
    <w:basedOn w:val="Normale"/>
    <w:rsid w:val="00260899"/>
    <w:pPr>
      <w:widowControl/>
      <w:suppressAutoHyphens/>
      <w:autoSpaceDE/>
      <w:autoSpaceDN/>
      <w:ind w:left="113" w:right="113"/>
    </w:pPr>
    <w:rPr>
      <w:rFonts w:ascii="Arial Narrow" w:hAnsi="Arial Narrow"/>
      <w:b/>
      <w:sz w:val="24"/>
      <w:szCs w:val="20"/>
      <w:lang w:eastAsia="ar-SA" w:bidi="ar-SA"/>
    </w:rPr>
  </w:style>
  <w:style w:type="paragraph" w:customStyle="1" w:styleId="CVNormal">
    <w:name w:val="CV Normal"/>
    <w:basedOn w:val="Normale"/>
    <w:rsid w:val="00260899"/>
    <w:pPr>
      <w:widowControl/>
      <w:suppressAutoHyphens/>
      <w:autoSpaceDE/>
      <w:autoSpaceDN/>
      <w:ind w:left="113" w:right="113"/>
    </w:pPr>
    <w:rPr>
      <w:rFonts w:ascii="Arial Narrow" w:hAnsi="Arial Narrow"/>
      <w:sz w:val="20"/>
      <w:szCs w:val="20"/>
      <w:lang w:eastAsia="ar-SA" w:bidi="ar-SA"/>
    </w:rPr>
  </w:style>
  <w:style w:type="character" w:customStyle="1" w:styleId="apple-style-span">
    <w:name w:val="apple-style-span"/>
    <w:rsid w:val="00260899"/>
  </w:style>
  <w:style w:type="paragraph" w:customStyle="1" w:styleId="CVSpacer">
    <w:name w:val="CV Spacer"/>
    <w:basedOn w:val="Normale"/>
    <w:rsid w:val="00260899"/>
    <w:pPr>
      <w:widowControl/>
      <w:suppressAutoHyphens/>
      <w:autoSpaceDE/>
      <w:autoSpaceDN/>
      <w:ind w:left="113" w:right="113"/>
    </w:pPr>
    <w:rPr>
      <w:rFonts w:ascii="Arial Narrow" w:hAnsi="Arial Narrow"/>
      <w:sz w:val="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5182-8C69-4932-8872-E4154ED0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Amministrazione - Gebbia Bortolotto Penalisti Associati</cp:lastModifiedBy>
  <cp:revision>5</cp:revision>
  <dcterms:created xsi:type="dcterms:W3CDTF">2022-09-20T11:05:00Z</dcterms:created>
  <dcterms:modified xsi:type="dcterms:W3CDTF">2022-09-20T13:22:00Z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