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C310" w14:textId="0382E349" w:rsidR="0030754D" w:rsidRDefault="00CB1F14" w:rsidP="00223454">
      <w:pPr>
        <w:jc w:val="center"/>
        <w:rPr>
          <w:rFonts w:ascii="Verdana" w:hAnsi="Verdana" w:cs="Calibri Light"/>
          <w:b/>
          <w:sz w:val="32"/>
        </w:rPr>
      </w:pPr>
      <w:bookmarkStart w:id="0" w:name="_GoBack"/>
      <w:bookmarkEnd w:id="0"/>
      <w:r w:rsidRPr="00CB1F14">
        <w:rPr>
          <w:rFonts w:ascii="Verdana" w:hAnsi="Verdana" w:cs="Calibri Light"/>
          <w:b/>
          <w:sz w:val="32"/>
        </w:rPr>
        <w:t>CURRICULUM VIT</w:t>
      </w:r>
      <w:r w:rsidR="0027144F">
        <w:rPr>
          <w:rFonts w:ascii="Verdana" w:hAnsi="Verdana" w:cs="Calibri Light"/>
          <w:b/>
          <w:sz w:val="32"/>
        </w:rPr>
        <w:t>Æ</w:t>
      </w:r>
    </w:p>
    <w:p w14:paraId="0EA91D19"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143EC0" w:rsidRPr="00143EC0">
        <w:rPr>
          <w:rFonts w:ascii="Verdana" w:hAnsi="Verdana" w:cs="Calibri Light"/>
          <w:i/>
          <w:sz w:val="16"/>
          <w:szCs w:val="20"/>
        </w:rPr>
        <w:t xml:space="preserve">: </w:t>
      </w:r>
      <w:hyperlink r:id="rId8" w:history="1">
        <w:r w:rsidR="00143EC0" w:rsidRPr="00143EC0">
          <w:rPr>
            <w:rStyle w:val="Collegamentoipertestuale"/>
            <w:rFonts w:ascii="Verdana" w:hAnsi="Verdana" w:cs="Calibri Light"/>
            <w:i/>
            <w:sz w:val="16"/>
            <w:szCs w:val="20"/>
          </w:rPr>
          <w:t>http://www.cvaspa.it/privacy/contenuti/</w:t>
        </w:r>
      </w:hyperlink>
    </w:p>
    <w:p w14:paraId="08CE0B39" w14:textId="77777777" w:rsidR="00DD7550" w:rsidRDefault="00DD7550"/>
    <w:p w14:paraId="63913397" w14:textId="77777777" w:rsidR="00EC78AC" w:rsidRDefault="00EC78AC"/>
    <w:p w14:paraId="5475164D"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3B650B91" w14:textId="77777777" w:rsidTr="00EC78AC">
        <w:trPr>
          <w:trHeight w:val="397"/>
        </w:trPr>
        <w:tc>
          <w:tcPr>
            <w:tcW w:w="5524" w:type="dxa"/>
            <w:vAlign w:val="center"/>
          </w:tcPr>
          <w:p w14:paraId="2AE557C6" w14:textId="7CECB827" w:rsidR="00EC78AC" w:rsidRPr="00EC78AC" w:rsidRDefault="00003EA1" w:rsidP="00EC78AC">
            <w:pPr>
              <w:jc w:val="both"/>
              <w:rPr>
                <w:rFonts w:ascii="Verdana" w:hAnsi="Verdana" w:cs="Calibri Light"/>
                <w:b/>
                <w:sz w:val="20"/>
                <w:szCs w:val="20"/>
              </w:rPr>
            </w:pPr>
            <w:r>
              <w:rPr>
                <w:rFonts w:ascii="Verdana" w:hAnsi="Verdana" w:cs="Calibri Light"/>
                <w:b/>
                <w:sz w:val="20"/>
                <w:szCs w:val="20"/>
              </w:rPr>
              <w:t xml:space="preserve">Alessandro Mulinacci </w:t>
            </w:r>
          </w:p>
        </w:tc>
      </w:tr>
    </w:tbl>
    <w:p w14:paraId="2E797BD7"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425CF6D6" w14:textId="77777777" w:rsidTr="00EC78AC">
        <w:trPr>
          <w:trHeight w:val="2514"/>
        </w:trPr>
        <w:tc>
          <w:tcPr>
            <w:tcW w:w="10201" w:type="dxa"/>
            <w:vAlign w:val="center"/>
          </w:tcPr>
          <w:p w14:paraId="0590A97F" w14:textId="77777777" w:rsidR="00EC78AC" w:rsidRPr="00EC78AC" w:rsidRDefault="00EC78AC" w:rsidP="00EC78AC">
            <w:pPr>
              <w:pStyle w:val="Corpotesto"/>
              <w:rPr>
                <w:rFonts w:ascii="Verdana" w:hAnsi="Verdana" w:cs="Calibri Light"/>
                <w:sz w:val="20"/>
                <w:szCs w:val="20"/>
              </w:rPr>
            </w:pPr>
          </w:p>
          <w:p w14:paraId="19C31E11" w14:textId="77777777" w:rsidR="00EC78AC" w:rsidRPr="00EC78AC" w:rsidRDefault="00EC78AC" w:rsidP="00EC78AC">
            <w:pPr>
              <w:pStyle w:val="Corpotesto"/>
              <w:rPr>
                <w:rFonts w:ascii="Verdana" w:hAnsi="Verdana" w:cs="Calibri Light"/>
                <w:sz w:val="20"/>
                <w:szCs w:val="20"/>
              </w:rPr>
            </w:pPr>
          </w:p>
          <w:p w14:paraId="5148C5AD" w14:textId="77777777" w:rsidR="00003EA1" w:rsidRPr="008B2DA0" w:rsidRDefault="00003EA1" w:rsidP="00003EA1">
            <w:pPr>
              <w:pStyle w:val="Body"/>
              <w:numPr>
                <w:ilvl w:val="0"/>
                <w:numId w:val="4"/>
              </w:numPr>
              <w:spacing w:after="0" w:line="240" w:lineRule="auto"/>
              <w:rPr>
                <w:rFonts w:ascii="Calibri" w:hAnsi="Calibri" w:cs="Arial"/>
                <w:szCs w:val="22"/>
              </w:rPr>
            </w:pPr>
            <w:r w:rsidRPr="008B2DA0">
              <w:rPr>
                <w:rFonts w:ascii="Calibri" w:hAnsi="Calibri" w:cs="Arial"/>
                <w:szCs w:val="22"/>
              </w:rPr>
              <w:t>Laurea in giurisprudenza presso l’Università degli Studi di Milano - 1986</w:t>
            </w:r>
          </w:p>
          <w:p w14:paraId="6FD462A0" w14:textId="77777777" w:rsidR="00003EA1" w:rsidRPr="008B2DA0" w:rsidRDefault="00003EA1" w:rsidP="00003EA1">
            <w:pPr>
              <w:pStyle w:val="Bullet"/>
              <w:numPr>
                <w:ilvl w:val="0"/>
                <w:numId w:val="4"/>
              </w:numPr>
              <w:spacing w:after="0" w:line="240" w:lineRule="auto"/>
              <w:rPr>
                <w:rFonts w:ascii="Calibri" w:hAnsi="Calibri" w:cs="Arial"/>
                <w:szCs w:val="22"/>
              </w:rPr>
            </w:pPr>
            <w:r>
              <w:rPr>
                <w:rFonts w:ascii="Calibri" w:hAnsi="Calibri" w:cs="Arial"/>
                <w:szCs w:val="22"/>
              </w:rPr>
              <w:t>Master</w:t>
            </w:r>
            <w:r w:rsidRPr="008B2DA0">
              <w:rPr>
                <w:rFonts w:ascii="Calibri" w:hAnsi="Calibri" w:cs="Arial"/>
                <w:szCs w:val="22"/>
              </w:rPr>
              <w:t xml:space="preserve"> in “</w:t>
            </w:r>
            <w:r>
              <w:rPr>
                <w:rFonts w:ascii="Calibri" w:hAnsi="Calibri" w:cs="Arial"/>
                <w:szCs w:val="22"/>
              </w:rPr>
              <w:t>Corporate Law” presso l’Univers</w:t>
            </w:r>
            <w:r w:rsidRPr="008B2DA0">
              <w:rPr>
                <w:rFonts w:ascii="Calibri" w:hAnsi="Calibri" w:cs="Arial"/>
                <w:szCs w:val="22"/>
              </w:rPr>
              <w:t>i</w:t>
            </w:r>
            <w:r>
              <w:rPr>
                <w:rFonts w:ascii="Calibri" w:hAnsi="Calibri" w:cs="Arial"/>
                <w:szCs w:val="22"/>
              </w:rPr>
              <w:t>t</w:t>
            </w:r>
            <w:r w:rsidRPr="008B2DA0">
              <w:rPr>
                <w:rFonts w:ascii="Calibri" w:hAnsi="Calibri" w:cs="Arial"/>
                <w:szCs w:val="22"/>
              </w:rPr>
              <w:t>à Bocconi - 1990/1991</w:t>
            </w:r>
          </w:p>
          <w:p w14:paraId="41D879BA" w14:textId="77777777" w:rsidR="00003EA1" w:rsidRPr="008B2DA0" w:rsidRDefault="00003EA1" w:rsidP="00003EA1">
            <w:pPr>
              <w:pStyle w:val="Bullet"/>
              <w:numPr>
                <w:ilvl w:val="0"/>
                <w:numId w:val="4"/>
              </w:numPr>
              <w:spacing w:after="0" w:line="240" w:lineRule="auto"/>
              <w:rPr>
                <w:rFonts w:ascii="Calibri" w:hAnsi="Calibri" w:cs="Arial"/>
                <w:szCs w:val="22"/>
              </w:rPr>
            </w:pPr>
            <w:r w:rsidRPr="008B2DA0">
              <w:rPr>
                <w:rFonts w:ascii="Calibri" w:hAnsi="Calibri" w:cs="Arial"/>
                <w:szCs w:val="22"/>
              </w:rPr>
              <w:t>M</w:t>
            </w:r>
            <w:r>
              <w:rPr>
                <w:rFonts w:ascii="Calibri" w:hAnsi="Calibri" w:cs="Arial"/>
                <w:szCs w:val="22"/>
              </w:rPr>
              <w:t>aster</w:t>
            </w:r>
            <w:r w:rsidRPr="008B2DA0">
              <w:rPr>
                <w:rFonts w:ascii="Calibri" w:hAnsi="Calibri" w:cs="Arial"/>
                <w:szCs w:val="22"/>
              </w:rPr>
              <w:t xml:space="preserve"> in “Tax Law” presso l’Università Bocconi - 1992/1993</w:t>
            </w:r>
          </w:p>
          <w:p w14:paraId="28C2BA1A" w14:textId="77777777" w:rsidR="00003EA1" w:rsidRPr="008B2DA0" w:rsidRDefault="00003EA1" w:rsidP="00003EA1">
            <w:pPr>
              <w:pStyle w:val="Bullet"/>
              <w:numPr>
                <w:ilvl w:val="0"/>
                <w:numId w:val="4"/>
              </w:numPr>
              <w:spacing w:after="0" w:line="240" w:lineRule="auto"/>
              <w:rPr>
                <w:rFonts w:ascii="Calibri" w:hAnsi="Calibri" w:cs="Arial"/>
                <w:szCs w:val="22"/>
              </w:rPr>
            </w:pPr>
            <w:r w:rsidRPr="008B2DA0">
              <w:rPr>
                <w:rFonts w:ascii="Calibri" w:hAnsi="Calibri" w:cs="Arial"/>
                <w:color w:val="auto"/>
                <w:szCs w:val="22"/>
              </w:rPr>
              <w:t>Iscritto all’Ordine degli Avvocati di Milano - 1994</w:t>
            </w:r>
          </w:p>
          <w:p w14:paraId="516A2FA4" w14:textId="77777777" w:rsidR="00003EA1" w:rsidRPr="008B2DA0" w:rsidRDefault="00003EA1" w:rsidP="00003EA1">
            <w:pPr>
              <w:pStyle w:val="Body"/>
              <w:numPr>
                <w:ilvl w:val="0"/>
                <w:numId w:val="4"/>
              </w:numPr>
              <w:spacing w:after="0"/>
              <w:rPr>
                <w:rFonts w:ascii="Calibri" w:hAnsi="Calibri" w:cs="Arial"/>
                <w:szCs w:val="22"/>
              </w:rPr>
            </w:pPr>
            <w:r w:rsidRPr="008B2DA0">
              <w:rPr>
                <w:rFonts w:ascii="Calibri" w:hAnsi="Calibri" w:cs="Arial"/>
                <w:color w:val="auto"/>
                <w:szCs w:val="22"/>
              </w:rPr>
              <w:t>È stato Membro di A.I.M.A</w:t>
            </w:r>
            <w:r w:rsidRPr="008B2DA0">
              <w:rPr>
                <w:rFonts w:ascii="Calibri" w:hAnsi="Calibri" w:cs="Arial"/>
                <w:b/>
                <w:color w:val="auto"/>
                <w:szCs w:val="22"/>
              </w:rPr>
              <w:t xml:space="preserve">. </w:t>
            </w:r>
            <w:r w:rsidRPr="008B2DA0">
              <w:rPr>
                <w:rFonts w:ascii="Calibri" w:hAnsi="Calibri" w:cs="Arial"/>
                <w:szCs w:val="22"/>
              </w:rPr>
              <w:t xml:space="preserve">Alternative </w:t>
            </w:r>
            <w:proofErr w:type="spellStart"/>
            <w:r w:rsidRPr="008B2DA0">
              <w:rPr>
                <w:rFonts w:ascii="Calibri" w:hAnsi="Calibri" w:cs="Arial"/>
                <w:szCs w:val="22"/>
              </w:rPr>
              <w:t>Investment</w:t>
            </w:r>
            <w:proofErr w:type="spellEnd"/>
            <w:r w:rsidRPr="008B2DA0">
              <w:rPr>
                <w:rFonts w:ascii="Calibri" w:hAnsi="Calibri" w:cs="Arial"/>
                <w:szCs w:val="22"/>
              </w:rPr>
              <w:t xml:space="preserve"> Management </w:t>
            </w:r>
            <w:proofErr w:type="spellStart"/>
            <w:r w:rsidRPr="008B2DA0">
              <w:rPr>
                <w:rFonts w:ascii="Calibri" w:hAnsi="Calibri" w:cs="Arial"/>
                <w:szCs w:val="22"/>
              </w:rPr>
              <w:t>Association</w:t>
            </w:r>
            <w:proofErr w:type="spellEnd"/>
            <w:r w:rsidRPr="008B2DA0">
              <w:rPr>
                <w:rFonts w:ascii="Calibri" w:hAnsi="Calibri" w:cs="Arial"/>
                <w:szCs w:val="22"/>
              </w:rPr>
              <w:t>.</w:t>
            </w:r>
          </w:p>
          <w:p w14:paraId="300E2D45" w14:textId="77777777" w:rsidR="00EC78AC" w:rsidRPr="00EC78AC" w:rsidRDefault="00EC78AC" w:rsidP="00EC78AC">
            <w:pPr>
              <w:rPr>
                <w:rFonts w:ascii="Verdana" w:hAnsi="Verdana" w:cs="Calibri Light"/>
                <w:sz w:val="20"/>
                <w:szCs w:val="20"/>
              </w:rPr>
            </w:pPr>
          </w:p>
          <w:p w14:paraId="2AEB7D05" w14:textId="77777777" w:rsidR="00EC78AC" w:rsidRPr="00EC78AC" w:rsidRDefault="00EC78AC" w:rsidP="00EC78AC">
            <w:pPr>
              <w:rPr>
                <w:rFonts w:ascii="Verdana" w:hAnsi="Verdana" w:cs="Calibri Light"/>
                <w:sz w:val="20"/>
                <w:szCs w:val="20"/>
              </w:rPr>
            </w:pPr>
          </w:p>
          <w:p w14:paraId="2727F133" w14:textId="77777777" w:rsidR="00EC78AC" w:rsidRPr="00EC78AC" w:rsidRDefault="00EC78AC" w:rsidP="00EC78AC">
            <w:pPr>
              <w:rPr>
                <w:rFonts w:ascii="Verdana" w:hAnsi="Verdana" w:cs="Calibri Light"/>
                <w:sz w:val="20"/>
                <w:szCs w:val="20"/>
              </w:rPr>
            </w:pPr>
          </w:p>
        </w:tc>
      </w:tr>
    </w:tbl>
    <w:p w14:paraId="03764A42"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05158410" w14:textId="77777777" w:rsidTr="00EC78AC">
        <w:tc>
          <w:tcPr>
            <w:tcW w:w="10188" w:type="dxa"/>
          </w:tcPr>
          <w:p w14:paraId="6C0B89A2" w14:textId="77777777" w:rsidR="00EC78AC" w:rsidRPr="00EC78AC" w:rsidRDefault="00EC78AC" w:rsidP="00EC78AC">
            <w:pPr>
              <w:pStyle w:val="Corpotesto"/>
              <w:jc w:val="both"/>
              <w:rPr>
                <w:rFonts w:ascii="Verdana" w:hAnsi="Verdana" w:cs="Calibri Light"/>
                <w:sz w:val="20"/>
                <w:szCs w:val="20"/>
              </w:rPr>
            </w:pPr>
          </w:p>
          <w:p w14:paraId="11AC0CE2" w14:textId="77777777" w:rsidR="00EC78AC" w:rsidRPr="00EC78AC" w:rsidRDefault="00EC78AC" w:rsidP="00EC78AC">
            <w:pPr>
              <w:pStyle w:val="Corpotesto"/>
              <w:jc w:val="both"/>
              <w:rPr>
                <w:rFonts w:ascii="Verdana" w:hAnsi="Verdana" w:cs="Calibri Light"/>
                <w:sz w:val="20"/>
                <w:szCs w:val="20"/>
              </w:rPr>
            </w:pPr>
          </w:p>
          <w:p w14:paraId="159CBACF" w14:textId="77777777" w:rsidR="00003EA1" w:rsidRPr="008B2DA0" w:rsidRDefault="00003EA1" w:rsidP="00003EA1">
            <w:pPr>
              <w:pStyle w:val="Bodyby"/>
              <w:spacing w:after="0"/>
              <w:rPr>
                <w:rFonts w:ascii="Calibri" w:hAnsi="Calibri" w:cs="Arial"/>
                <w:szCs w:val="22"/>
                <w:u w:val="single"/>
              </w:rPr>
            </w:pPr>
            <w:r w:rsidRPr="008B2DA0">
              <w:rPr>
                <w:rFonts w:ascii="Calibri" w:hAnsi="Calibri" w:cs="Arial"/>
                <w:szCs w:val="22"/>
                <w:u w:val="single"/>
              </w:rPr>
              <w:t>Settore Corporate e M&amp;A</w:t>
            </w:r>
          </w:p>
          <w:p w14:paraId="38B758D6" w14:textId="77777777" w:rsidR="00003EA1" w:rsidRPr="008B2DA0" w:rsidRDefault="00003EA1" w:rsidP="00003EA1">
            <w:pPr>
              <w:pStyle w:val="01-ResumeHeader"/>
              <w:spacing w:before="0" w:after="0" w:line="240" w:lineRule="atLeast"/>
              <w:ind w:left="0"/>
              <w:rPr>
                <w:rFonts w:ascii="Calibri" w:hAnsi="Calibri" w:cs="Arial"/>
                <w:b w:val="0"/>
                <w:color w:val="auto"/>
                <w:sz w:val="22"/>
                <w:szCs w:val="22"/>
                <w:lang w:val="it-IT"/>
              </w:rPr>
            </w:pPr>
          </w:p>
          <w:p w14:paraId="6CD7E813" w14:textId="77777777" w:rsidR="00003EA1" w:rsidRPr="008B2DA0" w:rsidRDefault="00003EA1" w:rsidP="00003EA1">
            <w:pPr>
              <w:jc w:val="both"/>
              <w:rPr>
                <w:rFonts w:ascii="Calibri" w:hAnsi="Calibri"/>
              </w:rPr>
            </w:pPr>
            <w:r w:rsidRPr="008B2DA0">
              <w:rPr>
                <w:rFonts w:ascii="Calibri" w:hAnsi="Calibri"/>
              </w:rPr>
              <w:t xml:space="preserve">Dopo aver maturato diversi anni di esperienza come in House Counsel in una importante azienda quotata alla Borsa Valori di Milano, svolgo da oltre 20 anni l’attività di avvocato con specializzazione in ambito Corporate e M&amp;A.  </w:t>
            </w:r>
          </w:p>
          <w:p w14:paraId="31EF150B" w14:textId="77777777" w:rsidR="00003EA1" w:rsidRPr="008B2DA0" w:rsidRDefault="00003EA1" w:rsidP="00003EA1">
            <w:pPr>
              <w:jc w:val="both"/>
              <w:rPr>
                <w:rFonts w:ascii="Calibri" w:hAnsi="Calibri"/>
              </w:rPr>
            </w:pPr>
          </w:p>
          <w:p w14:paraId="3C070F74" w14:textId="77777777" w:rsidR="00003EA1" w:rsidRDefault="00003EA1" w:rsidP="00003EA1">
            <w:pPr>
              <w:jc w:val="both"/>
              <w:rPr>
                <w:rFonts w:ascii="Calibri" w:hAnsi="Calibri"/>
              </w:rPr>
            </w:pPr>
            <w:r w:rsidRPr="008B2DA0">
              <w:rPr>
                <w:rFonts w:ascii="Calibri" w:hAnsi="Calibri"/>
              </w:rPr>
              <w:t xml:space="preserve">Negli anni ho assistito numerose realtà industriali italiane anche quotate in Borsa, fondi di investimento ed altri investitori, nonché importanti realtà multinazionali in questioni di natura contrattuale e societaria soprattutto in operazioni di M&amp;A. </w:t>
            </w:r>
          </w:p>
          <w:p w14:paraId="1076E57D" w14:textId="416D2D2B" w:rsidR="00EC78AC" w:rsidRDefault="00EC78AC" w:rsidP="00EC78AC">
            <w:pPr>
              <w:pStyle w:val="Corpotesto"/>
              <w:jc w:val="both"/>
              <w:rPr>
                <w:rFonts w:ascii="Verdana" w:hAnsi="Verdana" w:cs="Calibri Light"/>
                <w:sz w:val="20"/>
                <w:szCs w:val="20"/>
              </w:rPr>
            </w:pPr>
          </w:p>
          <w:p w14:paraId="5ABB2E76" w14:textId="77777777" w:rsidR="00003EA1" w:rsidRPr="008B2DA0" w:rsidRDefault="00003EA1" w:rsidP="00003EA1">
            <w:pPr>
              <w:pStyle w:val="Bodyby"/>
              <w:spacing w:after="0"/>
              <w:rPr>
                <w:rFonts w:ascii="Calibri" w:hAnsi="Calibri"/>
                <w:szCs w:val="22"/>
              </w:rPr>
            </w:pPr>
            <w:r w:rsidRPr="008B2DA0">
              <w:rPr>
                <w:rFonts w:ascii="Calibri" w:hAnsi="Calibri" w:cs="Arial"/>
                <w:szCs w:val="22"/>
              </w:rPr>
              <w:t xml:space="preserve">Sono membro di organi di vigilanza e organismi di controllo, amministratore indipendente in importanti realtà industriali Italiane ed internazionali, </w:t>
            </w:r>
            <w:r w:rsidRPr="008B2DA0">
              <w:rPr>
                <w:rFonts w:ascii="Calibri" w:hAnsi="Calibri"/>
                <w:szCs w:val="22"/>
              </w:rPr>
              <w:t>relatore in vari convegni e autore di articoli per riviste specializzate e quotidiani economici.</w:t>
            </w:r>
          </w:p>
          <w:p w14:paraId="146AA7FC" w14:textId="77777777" w:rsidR="00003EA1" w:rsidRPr="00EC78AC" w:rsidRDefault="00003EA1" w:rsidP="00EC78AC">
            <w:pPr>
              <w:pStyle w:val="Corpotesto"/>
              <w:jc w:val="both"/>
              <w:rPr>
                <w:rFonts w:ascii="Verdana" w:hAnsi="Verdana" w:cs="Calibri Light"/>
                <w:sz w:val="20"/>
                <w:szCs w:val="20"/>
              </w:rPr>
            </w:pPr>
          </w:p>
          <w:p w14:paraId="3C4EA668" w14:textId="77777777" w:rsidR="00EC78AC" w:rsidRPr="00EC78AC" w:rsidRDefault="00EC78AC" w:rsidP="00EC78AC">
            <w:pPr>
              <w:pStyle w:val="Corpotesto"/>
              <w:jc w:val="both"/>
              <w:rPr>
                <w:rFonts w:ascii="Verdana" w:hAnsi="Verdana" w:cs="Calibri Light"/>
                <w:sz w:val="20"/>
                <w:szCs w:val="20"/>
              </w:rPr>
            </w:pPr>
          </w:p>
          <w:p w14:paraId="3052ADE3" w14:textId="77777777" w:rsidR="00EC78AC" w:rsidRPr="00EC78AC" w:rsidRDefault="00EC78AC" w:rsidP="00EC78AC">
            <w:pPr>
              <w:pStyle w:val="Corpotesto"/>
              <w:jc w:val="both"/>
              <w:rPr>
                <w:rFonts w:ascii="Verdana" w:hAnsi="Verdana" w:cs="Calibri Light"/>
                <w:sz w:val="20"/>
                <w:szCs w:val="20"/>
              </w:rPr>
            </w:pPr>
          </w:p>
          <w:p w14:paraId="6EE5A997" w14:textId="77777777" w:rsidR="00EC78AC" w:rsidRPr="00EC78AC" w:rsidRDefault="00EC78AC" w:rsidP="00EC78AC">
            <w:pPr>
              <w:pStyle w:val="Corpotesto"/>
              <w:jc w:val="both"/>
              <w:rPr>
                <w:rFonts w:ascii="Verdana" w:hAnsi="Verdana" w:cs="Calibri Light"/>
                <w:sz w:val="20"/>
                <w:szCs w:val="20"/>
              </w:rPr>
            </w:pPr>
          </w:p>
          <w:p w14:paraId="7BA7F4AC" w14:textId="77777777" w:rsidR="00EC78AC" w:rsidRPr="00EC78AC" w:rsidRDefault="00EC78AC" w:rsidP="00EC78AC">
            <w:pPr>
              <w:pStyle w:val="Corpotesto"/>
              <w:jc w:val="both"/>
              <w:rPr>
                <w:rFonts w:ascii="Verdana" w:hAnsi="Verdana" w:cs="Calibri Light"/>
                <w:sz w:val="20"/>
                <w:szCs w:val="20"/>
              </w:rPr>
            </w:pPr>
          </w:p>
          <w:p w14:paraId="75625D32" w14:textId="77777777" w:rsidR="00EC78AC" w:rsidRPr="00EC78AC" w:rsidRDefault="00EC78AC" w:rsidP="00EC78AC">
            <w:pPr>
              <w:jc w:val="both"/>
              <w:rPr>
                <w:rFonts w:ascii="Verdana" w:hAnsi="Verdana" w:cs="Calibri Light"/>
                <w:sz w:val="20"/>
                <w:szCs w:val="20"/>
              </w:rPr>
            </w:pPr>
          </w:p>
          <w:p w14:paraId="599E4AF6" w14:textId="77777777" w:rsidR="00EC78AC" w:rsidRPr="00EC78AC" w:rsidRDefault="00EC78AC" w:rsidP="00EC78AC">
            <w:pPr>
              <w:jc w:val="both"/>
              <w:rPr>
                <w:rFonts w:ascii="Verdana" w:hAnsi="Verdana" w:cs="Calibri Light"/>
                <w:sz w:val="20"/>
                <w:szCs w:val="20"/>
              </w:rPr>
            </w:pPr>
          </w:p>
          <w:p w14:paraId="28AEACB0" w14:textId="77777777" w:rsidR="00EC78AC" w:rsidRPr="00EC78AC" w:rsidRDefault="00EC78AC" w:rsidP="00EC78AC">
            <w:pPr>
              <w:jc w:val="both"/>
              <w:rPr>
                <w:rFonts w:ascii="Verdana" w:hAnsi="Verdana" w:cs="Calibri Light"/>
                <w:sz w:val="20"/>
                <w:szCs w:val="20"/>
              </w:rPr>
            </w:pPr>
          </w:p>
          <w:p w14:paraId="5023B64D" w14:textId="77777777" w:rsidR="00EC78AC" w:rsidRDefault="00EC78AC" w:rsidP="00DD7550">
            <w:pPr>
              <w:pStyle w:val="Corpotesto"/>
              <w:jc w:val="both"/>
              <w:rPr>
                <w:rFonts w:ascii="Verdana" w:hAnsi="Verdana" w:cs="Calibri Light"/>
                <w:sz w:val="20"/>
                <w:szCs w:val="20"/>
              </w:rPr>
            </w:pPr>
          </w:p>
        </w:tc>
      </w:tr>
    </w:tbl>
    <w:p w14:paraId="2578165B" w14:textId="77777777" w:rsidR="0030754D" w:rsidRPr="00DD7550" w:rsidRDefault="0030754D" w:rsidP="00DD7550">
      <w:pPr>
        <w:pStyle w:val="Corpotesto"/>
        <w:jc w:val="both"/>
        <w:rPr>
          <w:rFonts w:ascii="Verdana" w:hAnsi="Verdana" w:cs="Calibri Light"/>
          <w:sz w:val="20"/>
          <w:szCs w:val="20"/>
        </w:rPr>
      </w:pPr>
    </w:p>
    <w:p w14:paraId="0AFE71E9" w14:textId="77777777" w:rsidR="001E3997" w:rsidRPr="00DD7550" w:rsidRDefault="001E3997" w:rsidP="00DD7550">
      <w:pPr>
        <w:pStyle w:val="Corpotesto"/>
        <w:jc w:val="both"/>
        <w:rPr>
          <w:rFonts w:ascii="Verdana" w:hAnsi="Verdana" w:cs="Calibri Light"/>
          <w:sz w:val="20"/>
          <w:szCs w:val="20"/>
        </w:rPr>
      </w:pPr>
    </w:p>
    <w:p w14:paraId="5E64AABE" w14:textId="77777777" w:rsidR="00974510" w:rsidRPr="00DD7550" w:rsidRDefault="00974510" w:rsidP="00DD7550">
      <w:pPr>
        <w:pStyle w:val="Corpotesto"/>
        <w:jc w:val="both"/>
        <w:rPr>
          <w:rFonts w:ascii="Verdana" w:hAnsi="Verdana" w:cs="Calibri Light"/>
          <w:sz w:val="20"/>
          <w:szCs w:val="20"/>
        </w:rPr>
      </w:pPr>
    </w:p>
    <w:p w14:paraId="56F73694" w14:textId="7DF178A6" w:rsidR="00DD7550" w:rsidRP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B70AA6">
        <w:rPr>
          <w:rFonts w:ascii="Verdana" w:hAnsi="Verdana" w:cs="Calibri Light"/>
          <w:b/>
          <w:sz w:val="20"/>
          <w:szCs w:val="20"/>
        </w:rPr>
        <w:t>Alessandro Mulinacci</w:t>
      </w:r>
    </w:p>
    <w:p w14:paraId="64F5B9C2" w14:textId="521DD57E" w:rsidR="00DD7550" w:rsidRPr="00DD7550" w:rsidRDefault="00DD7550" w:rsidP="00F05FC9">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9A7D6C">
        <w:rPr>
          <w:rFonts w:ascii="Verdana" w:hAnsi="Verdana" w:cs="Calibri Light"/>
          <w:sz w:val="20"/>
          <w:szCs w:val="20"/>
        </w:rPr>
        <w:t>03 dicembre</w:t>
      </w:r>
      <w:r w:rsidR="00B70AA6">
        <w:rPr>
          <w:rFonts w:ascii="Verdana" w:hAnsi="Verdana" w:cs="Calibri Light"/>
          <w:sz w:val="20"/>
          <w:szCs w:val="20"/>
        </w:rPr>
        <w:t xml:space="preserve"> 2020</w:t>
      </w:r>
      <w:r w:rsidRPr="00DD7550">
        <w:rPr>
          <w:rFonts w:ascii="Verdana" w:hAnsi="Verdana" w:cs="Calibri Light"/>
          <w:sz w:val="20"/>
          <w:szCs w:val="20"/>
        </w:rPr>
        <w:tab/>
      </w:r>
      <w:r>
        <w:rPr>
          <w:rFonts w:ascii="Verdana" w:hAnsi="Verdana" w:cs="Calibri Light"/>
          <w:sz w:val="20"/>
          <w:szCs w:val="20"/>
        </w:rPr>
        <w:t>___________________________</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6CDC" w14:textId="77777777" w:rsidR="0040094B" w:rsidRDefault="0040094B">
      <w:r>
        <w:separator/>
      </w:r>
    </w:p>
  </w:endnote>
  <w:endnote w:type="continuationSeparator" w:id="0">
    <w:p w14:paraId="316CA565" w14:textId="77777777" w:rsidR="0040094B" w:rsidRDefault="004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mbria"/>
    <w:charset w:val="00"/>
    <w:family w:val="auto"/>
    <w:pitch w:val="variable"/>
    <w:sig w:usb0="8000002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BF23" w14:textId="77777777" w:rsidR="0040094B" w:rsidRDefault="0040094B">
      <w:r>
        <w:separator/>
      </w:r>
    </w:p>
  </w:footnote>
  <w:footnote w:type="continuationSeparator" w:id="0">
    <w:p w14:paraId="6A2D0DB0" w14:textId="77777777" w:rsidR="0040094B" w:rsidRDefault="0040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38E"/>
    <w:multiLevelType w:val="hybridMultilevel"/>
    <w:tmpl w:val="51B27A06"/>
    <w:lvl w:ilvl="0" w:tplc="0ACEDD7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3"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03EA1"/>
    <w:rsid w:val="00011E9A"/>
    <w:rsid w:val="0003546D"/>
    <w:rsid w:val="000453AF"/>
    <w:rsid w:val="00073D27"/>
    <w:rsid w:val="00094AAF"/>
    <w:rsid w:val="000E15B0"/>
    <w:rsid w:val="00143EC0"/>
    <w:rsid w:val="00153ADA"/>
    <w:rsid w:val="00171C5E"/>
    <w:rsid w:val="001A034D"/>
    <w:rsid w:val="001D4941"/>
    <w:rsid w:val="001E3997"/>
    <w:rsid w:val="00223454"/>
    <w:rsid w:val="0027144F"/>
    <w:rsid w:val="00282D78"/>
    <w:rsid w:val="002E351D"/>
    <w:rsid w:val="002E38B7"/>
    <w:rsid w:val="0030754D"/>
    <w:rsid w:val="003449B4"/>
    <w:rsid w:val="003819A3"/>
    <w:rsid w:val="0038697C"/>
    <w:rsid w:val="0040094B"/>
    <w:rsid w:val="00501D1F"/>
    <w:rsid w:val="00527A45"/>
    <w:rsid w:val="005512A1"/>
    <w:rsid w:val="005A79A3"/>
    <w:rsid w:val="005D3709"/>
    <w:rsid w:val="006112F6"/>
    <w:rsid w:val="006E0B3C"/>
    <w:rsid w:val="00783A9C"/>
    <w:rsid w:val="007931A6"/>
    <w:rsid w:val="007F2590"/>
    <w:rsid w:val="00806BF7"/>
    <w:rsid w:val="00826DF1"/>
    <w:rsid w:val="008A1D05"/>
    <w:rsid w:val="008F4A5F"/>
    <w:rsid w:val="00952A8D"/>
    <w:rsid w:val="00965C20"/>
    <w:rsid w:val="00974510"/>
    <w:rsid w:val="0098428E"/>
    <w:rsid w:val="009A7D6C"/>
    <w:rsid w:val="009F3ADC"/>
    <w:rsid w:val="00A30383"/>
    <w:rsid w:val="00B05433"/>
    <w:rsid w:val="00B059C4"/>
    <w:rsid w:val="00B11E62"/>
    <w:rsid w:val="00B14DCA"/>
    <w:rsid w:val="00B70AA6"/>
    <w:rsid w:val="00C64E0B"/>
    <w:rsid w:val="00CB1C6C"/>
    <w:rsid w:val="00CB1F14"/>
    <w:rsid w:val="00CC0055"/>
    <w:rsid w:val="00CC1CDC"/>
    <w:rsid w:val="00D9089B"/>
    <w:rsid w:val="00DA78BF"/>
    <w:rsid w:val="00DD7550"/>
    <w:rsid w:val="00E30FE9"/>
    <w:rsid w:val="00E36282"/>
    <w:rsid w:val="00E56C86"/>
    <w:rsid w:val="00EC78AC"/>
    <w:rsid w:val="00ED106E"/>
    <w:rsid w:val="00EE4C7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2925"/>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 w:type="paragraph" w:customStyle="1" w:styleId="Body">
    <w:name w:val="Body"/>
    <w:basedOn w:val="Normale"/>
    <w:rsid w:val="00003EA1"/>
    <w:pPr>
      <w:widowControl/>
      <w:overflowPunct w:val="0"/>
      <w:adjustRightInd w:val="0"/>
      <w:spacing w:after="240" w:line="260" w:lineRule="exact"/>
      <w:jc w:val="both"/>
      <w:textAlignment w:val="baseline"/>
    </w:pPr>
    <w:rPr>
      <w:color w:val="000000"/>
      <w:szCs w:val="20"/>
      <w:lang w:eastAsia="en-US" w:bidi="ar-SA"/>
    </w:rPr>
  </w:style>
  <w:style w:type="paragraph" w:customStyle="1" w:styleId="Bullet">
    <w:name w:val="Bullet"/>
    <w:basedOn w:val="Body"/>
    <w:next w:val="Body"/>
    <w:rsid w:val="00003EA1"/>
    <w:pPr>
      <w:tabs>
        <w:tab w:val="left" w:pos="357"/>
      </w:tabs>
      <w:ind w:left="357" w:hanging="357"/>
    </w:pPr>
  </w:style>
  <w:style w:type="paragraph" w:customStyle="1" w:styleId="01-ResumeHeader">
    <w:name w:val="01-ResumeHeader"/>
    <w:rsid w:val="00003EA1"/>
    <w:pPr>
      <w:widowControl/>
      <w:autoSpaceDE/>
      <w:autoSpaceDN/>
      <w:spacing w:before="240" w:after="60" w:line="260" w:lineRule="atLeast"/>
      <w:ind w:left="86"/>
    </w:pPr>
    <w:rPr>
      <w:rFonts w:ascii="Univers 45 Light" w:eastAsia="Times New Roman" w:hAnsi="Univers 45 Light" w:cs="Times New Roman"/>
      <w:b/>
      <w:color w:val="00338D"/>
      <w:sz w:val="20"/>
      <w:szCs w:val="20"/>
    </w:rPr>
  </w:style>
  <w:style w:type="paragraph" w:customStyle="1" w:styleId="Bodyby">
    <w:name w:val="Body.by"/>
    <w:basedOn w:val="Normale"/>
    <w:rsid w:val="00003EA1"/>
    <w:pPr>
      <w:widowControl/>
      <w:autoSpaceDE/>
      <w:autoSpaceDN/>
      <w:spacing w:after="260" w:line="260" w:lineRule="exact"/>
      <w:jc w:val="both"/>
    </w:pPr>
    <w:rPr>
      <w:snapToGrid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vaspa.it/privacy/contenu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6A12-DFC1-4C79-A1CB-D1BF1193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GUARIENTI DI BRENZONE VIRANDO Anna</cp:lastModifiedBy>
  <cp:revision>5</cp:revision>
  <cp:lastPrinted>2020-10-14T16:31:00Z</cp:lastPrinted>
  <dcterms:created xsi:type="dcterms:W3CDTF">2020-10-15T15:02:00Z</dcterms:created>
  <dcterms:modified xsi:type="dcterms:W3CDTF">2020-12-03T16:26:00Z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